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E2" w:rsidRDefault="00B943B0">
      <w:pPr>
        <w:rPr>
          <w:b/>
        </w:rPr>
      </w:pPr>
      <w:r>
        <w:rPr>
          <w:b/>
        </w:rPr>
        <w:t xml:space="preserve">Trade Imbalances and </w:t>
      </w:r>
      <w:r w:rsidR="006846B7">
        <w:rPr>
          <w:b/>
        </w:rPr>
        <w:t xml:space="preserve">Manufacturing </w:t>
      </w:r>
      <w:r w:rsidR="009865DA">
        <w:rPr>
          <w:b/>
        </w:rPr>
        <w:t>Job</w:t>
      </w:r>
      <w:r w:rsidR="006846B7">
        <w:rPr>
          <w:b/>
        </w:rPr>
        <w:t>s: A Macro View</w:t>
      </w:r>
    </w:p>
    <w:p w:rsidR="00F07900" w:rsidRDefault="00F07900">
      <w:pPr>
        <w:rPr>
          <w:b/>
        </w:rPr>
      </w:pPr>
    </w:p>
    <w:p w:rsidR="00F07900" w:rsidRDefault="00F07900">
      <w:pPr>
        <w:rPr>
          <w:b/>
          <w:i/>
          <w:sz w:val="22"/>
          <w:szCs w:val="22"/>
        </w:rPr>
      </w:pPr>
      <w:r w:rsidRPr="00F07900">
        <w:rPr>
          <w:b/>
          <w:i/>
          <w:sz w:val="22"/>
          <w:szCs w:val="22"/>
        </w:rPr>
        <w:t>Remarks D</w:t>
      </w:r>
      <w:r w:rsidR="00B255A4" w:rsidRPr="00F07900">
        <w:rPr>
          <w:b/>
          <w:i/>
          <w:sz w:val="22"/>
          <w:szCs w:val="22"/>
        </w:rPr>
        <w:t xml:space="preserve">elivered at the </w:t>
      </w:r>
      <w:r w:rsidRPr="00F07900">
        <w:rPr>
          <w:b/>
          <w:i/>
          <w:sz w:val="22"/>
          <w:szCs w:val="22"/>
        </w:rPr>
        <w:t>New Jersey Institute of T</w:t>
      </w:r>
      <w:r>
        <w:rPr>
          <w:b/>
          <w:i/>
          <w:sz w:val="22"/>
          <w:szCs w:val="22"/>
        </w:rPr>
        <w:t>echnology Economic Conference</w:t>
      </w:r>
    </w:p>
    <w:p w:rsidR="00AE3C64" w:rsidRPr="00F07900" w:rsidRDefault="00B255A4">
      <w:pPr>
        <w:rPr>
          <w:b/>
          <w:i/>
          <w:sz w:val="22"/>
          <w:szCs w:val="22"/>
        </w:rPr>
      </w:pPr>
      <w:r w:rsidRPr="00F07900">
        <w:rPr>
          <w:b/>
          <w:i/>
          <w:sz w:val="22"/>
          <w:szCs w:val="22"/>
        </w:rPr>
        <w:t>November 3</w:t>
      </w:r>
    </w:p>
    <w:p w:rsidR="00BC1151" w:rsidRDefault="00BC1151"/>
    <w:p w:rsidR="00CE15C0" w:rsidRPr="00CE15C0" w:rsidRDefault="00CE15C0">
      <w:pPr>
        <w:rPr>
          <w:b/>
        </w:rPr>
      </w:pPr>
      <w:r w:rsidRPr="00CE15C0">
        <w:rPr>
          <w:b/>
        </w:rPr>
        <w:t>Overview</w:t>
      </w:r>
    </w:p>
    <w:p w:rsidR="008073AE" w:rsidRDefault="00BC1151">
      <w:r>
        <w:t xml:space="preserve">One of the hallmarks of Donald Trump’s theme of America First is the need to restore lost jobs in manufacturing owing to unfair foreign competition.  During the presidential campaign Trump criticized NAFTA and the Trans Pacific Partnership (TPP), and he threatened to impose </w:t>
      </w:r>
      <w:r w:rsidR="000261E3">
        <w:t xml:space="preserve">heavy </w:t>
      </w:r>
      <w:r>
        <w:t>duties</w:t>
      </w:r>
      <w:r w:rsidR="000261E3">
        <w:t xml:space="preserve"> </w:t>
      </w:r>
      <w:r>
        <w:t xml:space="preserve">on </w:t>
      </w:r>
      <w:r w:rsidR="000261E3">
        <w:t xml:space="preserve">imports from </w:t>
      </w:r>
      <w:r>
        <w:t xml:space="preserve">China, Mexico and other countries that </w:t>
      </w:r>
      <w:r w:rsidR="000261E3">
        <w:t>ar</w:t>
      </w:r>
      <w:r>
        <w:t>e deemed to harm American workers.</w:t>
      </w:r>
      <w:r w:rsidR="00AD5735">
        <w:t xml:space="preserve"> This stance raised alarm bells among investors</w:t>
      </w:r>
      <w:r w:rsidR="008073AE">
        <w:t xml:space="preserve"> who were concerned it</w:t>
      </w:r>
      <w:r w:rsidR="00AD5735">
        <w:t xml:space="preserve"> could lead to protectionism</w:t>
      </w:r>
      <w:r w:rsidR="008073AE">
        <w:t>.  However, most have adopted a wa</w:t>
      </w:r>
      <w:r w:rsidR="008C41E3">
        <w:t>i</w:t>
      </w:r>
      <w:r w:rsidR="008073AE">
        <w:t>t</w:t>
      </w:r>
      <w:r w:rsidR="008C41E3">
        <w:t>-</w:t>
      </w:r>
      <w:r w:rsidR="008073AE">
        <w:t>and</w:t>
      </w:r>
      <w:r w:rsidR="008C41E3">
        <w:t>-</w:t>
      </w:r>
      <w:r w:rsidR="008073AE">
        <w:t>see</w:t>
      </w:r>
      <w:r w:rsidR="008C41E3">
        <w:t xml:space="preserve"> posture</w:t>
      </w:r>
      <w:r w:rsidR="008073AE">
        <w:t>, presuming that</w:t>
      </w:r>
      <w:r w:rsidR="00AD5735">
        <w:t xml:space="preserve"> Trump’s harsh rhetoric </w:t>
      </w:r>
      <w:r w:rsidR="008073AE">
        <w:t>is</w:t>
      </w:r>
      <w:r w:rsidR="00AD5735">
        <w:t xml:space="preserve"> a ploy to negotiate more favorable trade arrangements</w:t>
      </w:r>
      <w:r w:rsidR="008073AE">
        <w:t xml:space="preserve"> for the U</w:t>
      </w:r>
      <w:r w:rsidR="006771CA">
        <w:t xml:space="preserve">nited </w:t>
      </w:r>
      <w:r w:rsidR="008073AE">
        <w:t>S</w:t>
      </w:r>
      <w:r w:rsidR="006771CA">
        <w:t>tates</w:t>
      </w:r>
      <w:r w:rsidR="00AD5735">
        <w:t>.</w:t>
      </w:r>
      <w:r w:rsidR="00CE15C0">
        <w:t xml:space="preserve"> </w:t>
      </w:r>
      <w:r w:rsidR="00F6519F">
        <w:t xml:space="preserve"> </w:t>
      </w:r>
      <w:r w:rsidR="00CE15C0">
        <w:t xml:space="preserve">     </w:t>
      </w:r>
    </w:p>
    <w:p w:rsidR="008073AE" w:rsidRDefault="008073AE"/>
    <w:p w:rsidR="00925022" w:rsidRDefault="00C46F6E">
      <w:r>
        <w:t xml:space="preserve">This </w:t>
      </w:r>
      <w:r w:rsidR="00CE15C0">
        <w:t>note</w:t>
      </w:r>
      <w:r>
        <w:t xml:space="preserve"> begins </w:t>
      </w:r>
      <w:r w:rsidR="002E4945">
        <w:t>by</w:t>
      </w:r>
      <w:r>
        <w:t xml:space="preserve"> consider</w:t>
      </w:r>
      <w:r w:rsidR="002E4945">
        <w:t>ing</w:t>
      </w:r>
      <w:r>
        <w:t xml:space="preserve"> </w:t>
      </w:r>
      <w:r w:rsidR="00FA759B">
        <w:t xml:space="preserve">factors </w:t>
      </w:r>
      <w:r w:rsidR="00B761BD">
        <w:t xml:space="preserve">that </w:t>
      </w:r>
      <w:r w:rsidR="00FA759B">
        <w:t>contributed to ballooning</w:t>
      </w:r>
      <w:r w:rsidR="00CE15C0">
        <w:t xml:space="preserve"> US</w:t>
      </w:r>
      <w:r w:rsidR="00FA759B">
        <w:t xml:space="preserve"> current account</w:t>
      </w:r>
      <w:r w:rsidR="00B761BD">
        <w:t xml:space="preserve"> deficit</w:t>
      </w:r>
      <w:r w:rsidR="00FA759B">
        <w:t>s</w:t>
      </w:r>
      <w:r w:rsidR="00B761BD">
        <w:t xml:space="preserve"> since </w:t>
      </w:r>
      <w:r w:rsidR="00DD53E7">
        <w:t xml:space="preserve">the early </w:t>
      </w:r>
      <w:r w:rsidR="00B761BD">
        <w:t>1980</w:t>
      </w:r>
      <w:r w:rsidR="00DD53E7">
        <w:t>s.</w:t>
      </w:r>
      <w:r w:rsidR="00FA759B">
        <w:t xml:space="preserve"> </w:t>
      </w:r>
      <w:r w:rsidR="008161A9">
        <w:t xml:space="preserve"> </w:t>
      </w:r>
      <w:r w:rsidR="00CE15C0">
        <w:t>We</w:t>
      </w:r>
      <w:r w:rsidR="00925022">
        <w:t xml:space="preserve"> next </w:t>
      </w:r>
      <w:r w:rsidR="00F6519F">
        <w:t>examine</w:t>
      </w:r>
      <w:r w:rsidR="00925022">
        <w:t xml:space="preserve"> the extent to which declines in US manufacturing jobs can be linked to </w:t>
      </w:r>
      <w:r w:rsidR="00DD53E7">
        <w:t xml:space="preserve">US trade imbalances.  </w:t>
      </w:r>
      <w:r w:rsidR="002F3FF9">
        <w:t>We find</w:t>
      </w:r>
      <w:r w:rsidR="002D0C08">
        <w:t xml:space="preserve"> t</w:t>
      </w:r>
      <w:r w:rsidR="00B132E3">
        <w:t xml:space="preserve">here is </w:t>
      </w:r>
      <w:r w:rsidR="002D0C08">
        <w:t>no</w:t>
      </w:r>
      <w:r w:rsidR="00B132E3">
        <w:t xml:space="preserve"> connection</w:t>
      </w:r>
      <w:r w:rsidR="00026E9C">
        <w:t xml:space="preserve"> between US jobs losses and NAFTA</w:t>
      </w:r>
      <w:r w:rsidR="006F223C">
        <w:t>, and that m</w:t>
      </w:r>
      <w:r w:rsidR="002D0C08">
        <w:t xml:space="preserve">ost of the </w:t>
      </w:r>
      <w:r w:rsidR="006F223C">
        <w:t xml:space="preserve">job </w:t>
      </w:r>
      <w:r w:rsidR="002D0C08">
        <w:t>declines occurred</w:t>
      </w:r>
      <w:r w:rsidR="00DD53E7">
        <w:t xml:space="preserve"> </w:t>
      </w:r>
      <w:r w:rsidR="00026E9C">
        <w:t>following China’s</w:t>
      </w:r>
      <w:r w:rsidR="00DD53E7">
        <w:t xml:space="preserve"> entry into the World Trade Organization (WTO)</w:t>
      </w:r>
      <w:r w:rsidR="00026E9C">
        <w:t xml:space="preserve"> in 2000.  Th</w:t>
      </w:r>
      <w:r w:rsidR="006F223C">
        <w:t>is coincided with a</w:t>
      </w:r>
      <w:r w:rsidR="00026E9C">
        <w:t xml:space="preserve"> massive build-up in foreign exchange reserves</w:t>
      </w:r>
      <w:r w:rsidR="00045EE2">
        <w:t xml:space="preserve"> of China and other Asian economies</w:t>
      </w:r>
      <w:r w:rsidR="00692E99">
        <w:t>.</w:t>
      </w:r>
      <w:r w:rsidR="00026E9C">
        <w:t xml:space="preserve"> </w:t>
      </w:r>
    </w:p>
    <w:p w:rsidR="000A71C4" w:rsidRDefault="000A71C4"/>
    <w:p w:rsidR="00931CBA" w:rsidRDefault="00045EE2" w:rsidP="00E600ED">
      <w:r>
        <w:t>We conclude by considering p</w:t>
      </w:r>
      <w:r w:rsidR="000A71C4">
        <w:t>ol</w:t>
      </w:r>
      <w:r w:rsidR="00B6303A">
        <w:t xml:space="preserve">icies </w:t>
      </w:r>
      <w:r>
        <w:t xml:space="preserve">that are intended </w:t>
      </w:r>
      <w:r w:rsidR="00B6303A">
        <w:t xml:space="preserve">to narrow </w:t>
      </w:r>
      <w:r w:rsidR="00B5102F">
        <w:t>global payments imbalances</w:t>
      </w:r>
      <w:r>
        <w:t>.</w:t>
      </w:r>
      <w:r w:rsidR="00B6303A">
        <w:t xml:space="preserve">  </w:t>
      </w:r>
      <w:r w:rsidR="00E600ED">
        <w:t>T</w:t>
      </w:r>
      <w:r w:rsidR="00E66DD0">
        <w:t xml:space="preserve">he </w:t>
      </w:r>
      <w:r w:rsidR="00F6519F">
        <w:t>T</w:t>
      </w:r>
      <w:r w:rsidR="00E66DD0">
        <w:t>rump administration</w:t>
      </w:r>
      <w:r w:rsidR="00F6519F">
        <w:t xml:space="preserve">’s </w:t>
      </w:r>
      <w:proofErr w:type="spellStart"/>
      <w:r w:rsidR="00F6519F">
        <w:t>appraoch</w:t>
      </w:r>
      <w:proofErr w:type="spellEnd"/>
      <w:r w:rsidR="00E66DD0">
        <w:t xml:space="preserve"> to negotiate bilateral trade arrangements will</w:t>
      </w:r>
      <w:r w:rsidR="00692E99">
        <w:t xml:space="preserve"> likely</w:t>
      </w:r>
      <w:r w:rsidR="00E66DD0">
        <w:t xml:space="preserve"> </w:t>
      </w:r>
      <w:r w:rsidR="00931CBA">
        <w:t>prove ineffective</w:t>
      </w:r>
      <w:r w:rsidR="00B132E3">
        <w:t xml:space="preserve">, and </w:t>
      </w:r>
      <w:r w:rsidR="00E66DD0">
        <w:t>protectionist measures would invite retaliation</w:t>
      </w:r>
      <w:r w:rsidR="00931CBA">
        <w:t xml:space="preserve">. </w:t>
      </w:r>
      <w:r w:rsidR="00E66DD0">
        <w:t xml:space="preserve"> </w:t>
      </w:r>
      <w:r w:rsidR="00B5102F">
        <w:t>The challenge US policy makers face is how to wean Asian economies away from their export-dependence on the USA without resorting to protectionism that could unsettle financial markets.</w:t>
      </w:r>
    </w:p>
    <w:p w:rsidR="000A71C4" w:rsidRDefault="000A71C4"/>
    <w:p w:rsidR="00316265" w:rsidRPr="00791FF7" w:rsidRDefault="00316265">
      <w:pPr>
        <w:rPr>
          <w:b/>
        </w:rPr>
      </w:pPr>
      <w:r w:rsidRPr="00791FF7">
        <w:rPr>
          <w:b/>
        </w:rPr>
        <w:t>Origins of Chronic US Trade Deficits</w:t>
      </w:r>
      <w:r w:rsidR="002734C1">
        <w:rPr>
          <w:b/>
        </w:rPr>
        <w:t xml:space="preserve"> in the 1980s</w:t>
      </w:r>
    </w:p>
    <w:p w:rsidR="00E600ED" w:rsidRDefault="007813FD" w:rsidP="005226E3">
      <w:r>
        <w:t>T</w:t>
      </w:r>
      <w:r w:rsidR="00053368">
        <w:t xml:space="preserve">o understand the impact that international trade </w:t>
      </w:r>
      <w:r w:rsidR="00B132E3">
        <w:t>may have</w:t>
      </w:r>
      <w:r w:rsidR="00053368">
        <w:t xml:space="preserve"> on </w:t>
      </w:r>
      <w:r w:rsidR="00B132E3">
        <w:t xml:space="preserve">US </w:t>
      </w:r>
      <w:r w:rsidR="00053368">
        <w:t xml:space="preserve">jobs, </w:t>
      </w:r>
      <w:r w:rsidR="00CC3088">
        <w:t xml:space="preserve">one must first </w:t>
      </w:r>
      <w:r w:rsidR="00E600ED">
        <w:t>consider</w:t>
      </w:r>
      <w:r w:rsidR="00CC3088">
        <w:t xml:space="preserve"> </w:t>
      </w:r>
      <w:r w:rsidR="00053368">
        <w:t xml:space="preserve">the factors that </w:t>
      </w:r>
      <w:r w:rsidR="007F2A82">
        <w:t xml:space="preserve">caused a dramatic shift in the US status from the world’s largest creditor nation to its biggest borrower.  This transition occurred during the 1980s, </w:t>
      </w:r>
      <w:r w:rsidR="004A0D5B">
        <w:t xml:space="preserve">and it coincided with the United States running persistent large budget deficits that averaged 3% of GDP during the Reagan and Bush administrations (see Figure </w:t>
      </w:r>
      <w:r w:rsidR="005226E3">
        <w:t>1</w:t>
      </w:r>
      <w:r w:rsidR="004A0D5B">
        <w:t xml:space="preserve">). </w:t>
      </w:r>
    </w:p>
    <w:p w:rsidR="00E600ED" w:rsidRDefault="00E600ED" w:rsidP="005226E3"/>
    <w:p w:rsidR="00BC13A1" w:rsidRDefault="00BC13A1" w:rsidP="00BC13A1">
      <w:r>
        <w:t>The Japanese government contended the trade imbalances were attributable to lax US fiscal policy that resulted in the USA having “twin deficits.”  According to this view (which European officials and many prominent US economists also espoused), the best way to reduce the US current account imbalance would be to reduce the budget deficit. By doing so, aggregate demand would be lower and imports would shrink.  Also, a smaller budget deficit would help to reduce bond yields, and thereby cause the dollar to soften as capital inflows from Japan and other countries would moderate.</w:t>
      </w:r>
    </w:p>
    <w:p w:rsidR="00BC13A1" w:rsidRDefault="00BC13A1" w:rsidP="005226E3"/>
    <w:p w:rsidR="00BC13A1" w:rsidRDefault="00BC13A1" w:rsidP="005226E3"/>
    <w:p w:rsidR="00BC13A1" w:rsidRDefault="00BC13A1" w:rsidP="005226E3"/>
    <w:p w:rsidR="00E600ED" w:rsidRDefault="00B255A4" w:rsidP="005226E3">
      <w:r>
        <w:lastRenderedPageBreak/>
        <w:t>Figure 1:</w:t>
      </w:r>
      <w:r w:rsidR="00E600ED">
        <w:t xml:space="preserve">  U</w:t>
      </w:r>
      <w:r>
        <w:t>.</w:t>
      </w:r>
      <w:r w:rsidR="00E600ED">
        <w:t>S</w:t>
      </w:r>
      <w:r>
        <w:t>.</w:t>
      </w:r>
      <w:r w:rsidR="00E600ED">
        <w:t xml:space="preserve"> Budget and Current Account Deficits (%</w:t>
      </w:r>
      <w:r>
        <w:t xml:space="preserve"> o</w:t>
      </w:r>
      <w:r w:rsidR="00E600ED">
        <w:t>f GDP)</w:t>
      </w:r>
    </w:p>
    <w:p w:rsidR="00E600ED" w:rsidRDefault="00E600ED" w:rsidP="005226E3"/>
    <w:p w:rsidR="00E600ED" w:rsidRDefault="00B255A4" w:rsidP="005226E3">
      <w:r w:rsidRPr="00B255A4">
        <w:rPr>
          <w:noProof/>
        </w:rPr>
        <w:drawing>
          <wp:inline distT="0" distB="0" distL="0" distR="0" wp14:anchorId="7E35CA5B" wp14:editId="20109DE8">
            <wp:extent cx="5486400" cy="44481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600ED" w:rsidRDefault="00E600ED" w:rsidP="005226E3"/>
    <w:p w:rsidR="00E600ED" w:rsidRPr="00F07900" w:rsidRDefault="00B255A4" w:rsidP="005226E3">
      <w:pPr>
        <w:rPr>
          <w:i/>
          <w:sz w:val="16"/>
          <w:szCs w:val="16"/>
        </w:rPr>
      </w:pPr>
      <w:r w:rsidRPr="00F07900">
        <w:rPr>
          <w:i/>
          <w:sz w:val="16"/>
          <w:szCs w:val="16"/>
        </w:rPr>
        <w:t>Source:</w:t>
      </w:r>
      <w:r w:rsidRPr="00F07900">
        <w:rPr>
          <w:rFonts w:ascii="Arial" w:eastAsia="Calibri" w:hAnsi="Arial" w:cs="Arial"/>
          <w:i/>
          <w:color w:val="000000" w:themeColor="text1"/>
          <w:kern w:val="24"/>
          <w:sz w:val="16"/>
          <w:szCs w:val="16"/>
        </w:rPr>
        <w:t xml:space="preserve"> </w:t>
      </w:r>
      <w:r w:rsidRPr="00F07900">
        <w:rPr>
          <w:i/>
          <w:sz w:val="16"/>
          <w:szCs w:val="16"/>
        </w:rPr>
        <w:t>Bureau of Economic Analysis, Dept. of Commerce.</w:t>
      </w:r>
    </w:p>
    <w:p w:rsidR="00E600ED" w:rsidRDefault="00E600ED" w:rsidP="005226E3"/>
    <w:p w:rsidR="007813FD" w:rsidRDefault="00152FAC" w:rsidP="004B0462">
      <w:r>
        <w:t xml:space="preserve">US officials </w:t>
      </w:r>
      <w:r w:rsidR="00CC3088">
        <w:t>c</w:t>
      </w:r>
      <w:r>
        <w:t>ountered that the bilateral trade imbalance was mainly the result of</w:t>
      </w:r>
      <w:r w:rsidR="00C87B42">
        <w:t xml:space="preserve"> the </w:t>
      </w:r>
      <w:r>
        <w:t>Japan</w:t>
      </w:r>
      <w:r w:rsidR="00C87B42">
        <w:t xml:space="preserve"> authorities</w:t>
      </w:r>
      <w:r>
        <w:t xml:space="preserve"> intervening in currency markets to keep </w:t>
      </w:r>
      <w:r w:rsidR="00C87B42">
        <w:t>the yen</w:t>
      </w:r>
      <w:r>
        <w:t xml:space="preserve"> undervalued against the dollar.  The US government, therefore, pressed the Japanese authorities to refrain from</w:t>
      </w:r>
      <w:r w:rsidR="00A05DFD">
        <w:t xml:space="preserve"> intervening in currency market.  Moreover, they pressured the</w:t>
      </w:r>
      <w:r w:rsidR="006B2819">
        <w:t xml:space="preserve"> Japan</w:t>
      </w:r>
      <w:r w:rsidR="00A05DFD">
        <w:t xml:space="preserve"> to</w:t>
      </w:r>
      <w:r w:rsidR="006B2819">
        <w:t xml:space="preserve"> implement “voluntary” export restraints (or quotas) on car shipments to the USA, which it did.</w:t>
      </w:r>
    </w:p>
    <w:p w:rsidR="00152FAC" w:rsidRDefault="006B2819" w:rsidP="004B0462">
      <w:r>
        <w:t xml:space="preserve">  </w:t>
      </w:r>
    </w:p>
    <w:p w:rsidR="005226E3" w:rsidRDefault="007813FD" w:rsidP="004B0462">
      <w:r>
        <w:t>Because t</w:t>
      </w:r>
      <w:r w:rsidR="00152FAC">
        <w:t xml:space="preserve">he US government did not tackle its budget imbalance until the </w:t>
      </w:r>
      <w:r w:rsidR="00A05DFD">
        <w:t>early</w:t>
      </w:r>
      <w:r w:rsidR="00152FAC">
        <w:t>-1990s, the burden of adjustment for narrowing the trade imbalance was relegated to the yen/dollar exchange rate</w:t>
      </w:r>
      <w:r w:rsidR="00A05DFD">
        <w:t xml:space="preserve">: </w:t>
      </w:r>
      <w:r w:rsidR="00F6519F">
        <w:t>The yen</w:t>
      </w:r>
      <w:r w:rsidR="00152FAC">
        <w:t xml:space="preserve"> appreciated steadily from 1985 to 1994</w:t>
      </w:r>
      <w:r w:rsidR="00A05DFD">
        <w:t xml:space="preserve"> and confounded attempts by the Japanese government to counter deflationary pressures that emanated after Japan’s real estate and stock market bubble burst</w:t>
      </w:r>
      <w:r w:rsidR="00152FAC">
        <w:t>.</w:t>
      </w:r>
      <w:r w:rsidR="006B2819">
        <w:t xml:space="preserve"> </w:t>
      </w:r>
      <w:r>
        <w:t xml:space="preserve"> Indeed, </w:t>
      </w:r>
      <w:r w:rsidR="00A05DFD">
        <w:t xml:space="preserve">in 1993-1994 </w:t>
      </w:r>
      <w:r>
        <w:t xml:space="preserve">Treasury Secretary Lloyd Bentsen maintained the yen was undervalued, when it reached a </w:t>
      </w:r>
      <w:r w:rsidR="00A05DFD">
        <w:t xml:space="preserve">record </w:t>
      </w:r>
      <w:r>
        <w:t>high of Y80/$</w:t>
      </w:r>
      <w:r w:rsidR="00A05DFD">
        <w:t xml:space="preserve"> -- a cumulative appreciation of </w:t>
      </w:r>
      <w:r w:rsidR="00BC3A74">
        <w:t>more than three-fold</w:t>
      </w:r>
      <w:r w:rsidR="00A05DFD">
        <w:t xml:space="preserve"> from the beginning of 1980.</w:t>
      </w:r>
    </w:p>
    <w:p w:rsidR="00BC13A1" w:rsidRDefault="00BC13A1" w:rsidP="004B0462"/>
    <w:p w:rsidR="00BC13A1" w:rsidRDefault="00BC13A1" w:rsidP="004B0462"/>
    <w:p w:rsidR="005226E3" w:rsidRDefault="005226E3" w:rsidP="004B0462"/>
    <w:p w:rsidR="007813FD" w:rsidRPr="00791FF7" w:rsidRDefault="003322DE" w:rsidP="004B0462">
      <w:pPr>
        <w:rPr>
          <w:b/>
        </w:rPr>
      </w:pPr>
      <w:r w:rsidRPr="00791FF7">
        <w:rPr>
          <w:b/>
        </w:rPr>
        <w:lastRenderedPageBreak/>
        <w:t>Impact of a Global Savings Glut</w:t>
      </w:r>
    </w:p>
    <w:p w:rsidR="008116A0" w:rsidRDefault="00A05DFD" w:rsidP="004B0462">
      <w:r>
        <w:t>One of the priorities of the Clinton administration</w:t>
      </w:r>
      <w:r w:rsidR="007813FD">
        <w:t xml:space="preserve"> </w:t>
      </w:r>
      <w:r>
        <w:t>was to reverse the direction of US fiscal policy, and it did so through a c</w:t>
      </w:r>
      <w:r w:rsidR="008116A0">
        <w:t>ombination of defense spending cuts</w:t>
      </w:r>
      <w:r>
        <w:t xml:space="preserve"> and tax rate increases</w:t>
      </w:r>
      <w:r w:rsidR="008116A0">
        <w:t xml:space="preserve"> for high-income earners</w:t>
      </w:r>
      <w:r>
        <w:t xml:space="preserve">.  </w:t>
      </w:r>
      <w:r w:rsidR="008116A0">
        <w:t xml:space="preserve">The economy also proved to be robust during the tech boom era, when it sustained annualized economic growth of 4%.  This helped to generate revenues that brought the federal budget into surplus during the period from fiscal 1998 to 2001, the only surplus years after 1969. </w:t>
      </w:r>
    </w:p>
    <w:p w:rsidR="008116A0" w:rsidRDefault="008116A0" w:rsidP="004B0462"/>
    <w:p w:rsidR="00BC3A74" w:rsidRDefault="008116A0" w:rsidP="004B0462">
      <w:r>
        <w:t>Yet, despite this dramatic improvement in the budgetary picture, the US current account deficit relative to GDP increased steadily from the mid-1990s to the mid-2000s</w:t>
      </w:r>
      <w:r w:rsidR="00AA6BEE">
        <w:t>, when it reached a peak of 6% of GDP</w:t>
      </w:r>
      <w:r>
        <w:t xml:space="preserve">. </w:t>
      </w:r>
      <w:r w:rsidR="00AA6BEE">
        <w:t xml:space="preserve"> A level this high is generally considered to be unsustainable</w:t>
      </w:r>
      <w:r w:rsidR="00F6519F">
        <w:t>,</w:t>
      </w:r>
      <w:r w:rsidR="00AA6BEE">
        <w:t xml:space="preserve"> because it implies a build-up in external debt that is considerably faster than GDP.</w:t>
      </w:r>
      <w:r>
        <w:t xml:space="preserve"> </w:t>
      </w:r>
      <w:r w:rsidR="00AA6BEE">
        <w:t xml:space="preserve"> This </w:t>
      </w:r>
      <w:r>
        <w:t>forced economists to reassess what was happening, and in 2005 Ben Bernanke, then a Governor of the Federal Reserve, put forth an explanation</w:t>
      </w:r>
      <w:r w:rsidR="00AA6BEE">
        <w:t xml:space="preserve"> that the growing US current account deficit was mainly the result of a “global saving glut.”</w:t>
      </w:r>
      <w:r w:rsidR="00AA6BEE">
        <w:rPr>
          <w:rStyle w:val="FootnoteReference"/>
        </w:rPr>
        <w:footnoteReference w:id="1"/>
      </w:r>
      <w:r>
        <w:t xml:space="preserve"> </w:t>
      </w:r>
    </w:p>
    <w:p w:rsidR="00152FAC" w:rsidRDefault="008116A0" w:rsidP="004B0462">
      <w:r>
        <w:t xml:space="preserve">  </w:t>
      </w:r>
      <w:r w:rsidR="007813FD">
        <w:t xml:space="preserve"> </w:t>
      </w:r>
    </w:p>
    <w:p w:rsidR="00BC3A74" w:rsidRDefault="0087790B" w:rsidP="004B0462">
      <w:r>
        <w:t>Bernanke’s argument is that many of the emerging economies in Asia were devastated by the 1997-98 crisis, in which their currencies depreciated by record amounts, ranging between nearly 20% for Singapore to more than 70% for Indonesia.  This gave them a strong competitive advantage, which enabled them to boost exports while contracting imports.  In addition, countries in the region responded by accumulating foreign exchange reserves in the ensuing years to lessen their vulnerability to currency crises in the future.  Consequently, they amassed la</w:t>
      </w:r>
      <w:r w:rsidR="00F6519F">
        <w:t>rge current account surpluses, mainly</w:t>
      </w:r>
      <w:r>
        <w:t xml:space="preserve"> with the United States, which in turn experienced a significant increase in its current account deficit.</w:t>
      </w:r>
      <w:r w:rsidR="00CC3088">
        <w:t xml:space="preserve">  </w:t>
      </w:r>
      <w:r w:rsidR="008F33AE">
        <w:t>Thus, during this period at least the expansion in the US current account deficit was primarily due to an increase in saving outside the United States, rather than due to a deteri</w:t>
      </w:r>
      <w:r w:rsidR="00CC3088">
        <w:t>oration in the US fiscal stance</w:t>
      </w:r>
      <w:r w:rsidR="00F6519F">
        <w:t xml:space="preserve"> (see Figure 2).</w:t>
      </w:r>
    </w:p>
    <w:p w:rsidR="00BC13A1" w:rsidRDefault="00BC13A1" w:rsidP="004B0462"/>
    <w:p w:rsidR="00BC13A1" w:rsidRPr="002734C1" w:rsidRDefault="00BC13A1" w:rsidP="00BC13A1">
      <w:pPr>
        <w:rPr>
          <w:b/>
        </w:rPr>
      </w:pPr>
      <w:r w:rsidRPr="002734C1">
        <w:rPr>
          <w:b/>
        </w:rPr>
        <w:t>Role of International Capital Flows</w:t>
      </w:r>
    </w:p>
    <w:p w:rsidR="00BC13A1" w:rsidRDefault="00BC13A1" w:rsidP="00BC13A1">
      <w:r>
        <w:t>The main takeaway is that international capital flows have been the principal driver of both trade balances and exchange rates since the breakdown of the Bretton Woods system in the early 1970s.  According to Robert Aliber, the key distinction is whether a shortage of US saving “crowded-out” some foreign borrowers or instead whether excess foreign saving “crowded into” the American market and displaced American saving.  The conventional view among economists is the former one, but Aliber maintains the latter force has prevailed: “This inflow (of foreign capital) has led to a higher price for the US dollar, a sharp decline in employment in US manufacturing, a US consumption boom, and a larger fiscal deficit.”</w:t>
      </w:r>
      <w:r>
        <w:rPr>
          <w:rStyle w:val="FootnoteReference"/>
        </w:rPr>
        <w:footnoteReference w:id="2"/>
      </w:r>
    </w:p>
    <w:p w:rsidR="00BC13A1" w:rsidRDefault="00BC13A1" w:rsidP="004B0462"/>
    <w:p w:rsidR="00BC13A1" w:rsidRDefault="00BC13A1" w:rsidP="004B0462"/>
    <w:p w:rsidR="00BC13A1" w:rsidRDefault="00BC13A1" w:rsidP="004B0462"/>
    <w:p w:rsidR="00BC13A1" w:rsidRDefault="00BC13A1" w:rsidP="004B0462"/>
    <w:p w:rsidR="00BC13A1" w:rsidRDefault="00BC13A1" w:rsidP="004B0462"/>
    <w:p w:rsidR="00BC13A1" w:rsidRDefault="00BC13A1" w:rsidP="004B0462"/>
    <w:p w:rsidR="00F6519F" w:rsidRDefault="00B255A4" w:rsidP="004B0462">
      <w:r>
        <w:t>Figure 2:</w:t>
      </w:r>
      <w:r w:rsidR="00F6519F">
        <w:t xml:space="preserve"> Cumulative US Budget and Current Account Deficits, 1980 to 2017</w:t>
      </w:r>
      <w:r>
        <w:t xml:space="preserve"> ($ millions)</w:t>
      </w:r>
    </w:p>
    <w:p w:rsidR="00F6519F" w:rsidRDefault="00F6519F" w:rsidP="004B0462"/>
    <w:p w:rsidR="00F6519F" w:rsidRDefault="00F6519F" w:rsidP="004B0462"/>
    <w:p w:rsidR="00F6519F" w:rsidRDefault="00B255A4" w:rsidP="004B0462">
      <w:r>
        <w:rPr>
          <w:noProof/>
        </w:rPr>
        <w:drawing>
          <wp:inline distT="0" distB="0" distL="0" distR="0" wp14:anchorId="78F4DE11" wp14:editId="0B1F8991">
            <wp:extent cx="5486400" cy="3540125"/>
            <wp:effectExtent l="0" t="0" r="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519F" w:rsidRDefault="00F6519F" w:rsidP="004B0462"/>
    <w:p w:rsidR="00F6519F" w:rsidRPr="00F07900" w:rsidRDefault="00F07900" w:rsidP="004B0462">
      <w:pPr>
        <w:rPr>
          <w:i/>
          <w:sz w:val="16"/>
          <w:szCs w:val="16"/>
        </w:rPr>
      </w:pPr>
      <w:r w:rsidRPr="00F07900">
        <w:rPr>
          <w:i/>
          <w:sz w:val="16"/>
          <w:szCs w:val="16"/>
        </w:rPr>
        <w:t>Source: US Treasury and Department of Commerce.</w:t>
      </w:r>
    </w:p>
    <w:p w:rsidR="00BC3A74" w:rsidRDefault="00BC3A74" w:rsidP="004B0462"/>
    <w:p w:rsidR="000D2CDC" w:rsidRDefault="000D2CDC" w:rsidP="000D2CDC">
      <w:r>
        <w:t>My own assessment is that both sets of forces have been at play over the past f</w:t>
      </w:r>
      <w:r w:rsidR="00E56137">
        <w:t>our</w:t>
      </w:r>
      <w:r>
        <w:t xml:space="preserve"> decades</w:t>
      </w:r>
      <w:r w:rsidR="00F6519F">
        <w:t>.</w:t>
      </w:r>
      <w:r>
        <w:t xml:space="preserve">  The initial bout of chronic US trade imbalances in the 1980s mainly stemmed from the shift to large US budget deficits.  When combined with tight monetary policy, they generated record high real interest rates that induced foreign capital inflows – mainly from Japanese life insurance companies and banks – that caused the dollar to appreciate steadily in the first half of the decade.</w:t>
      </w:r>
    </w:p>
    <w:p w:rsidR="00F6519F" w:rsidRDefault="00F6519F" w:rsidP="000D2CDC"/>
    <w:p w:rsidR="004B0462" w:rsidRDefault="00FC0E3F" w:rsidP="000D2CDC">
      <w:r>
        <w:t xml:space="preserve">Since </w:t>
      </w:r>
      <w:r w:rsidR="000D2CDC">
        <w:t>the mid-1990s</w:t>
      </w:r>
      <w:r>
        <w:t>, however</w:t>
      </w:r>
      <w:r w:rsidR="000D2CDC">
        <w:t xml:space="preserve">, the main factor contributing to the increase in the US current account deficit </w:t>
      </w:r>
      <w:r w:rsidR="00CC3088">
        <w:t>has been</w:t>
      </w:r>
      <w:r w:rsidR="000D2CDC">
        <w:t xml:space="preserve"> excess foreign saving, mainly from Asian countries.  In this context, much of the capital inflows are the result of direct purchases of US securities by foreign central banks, sovereign wealth funds and government-sponsored entities.  A noteworthy example is China, whose holdings of foreign exchange reserves</w:t>
      </w:r>
      <w:r>
        <w:t xml:space="preserve"> reached a peak of $4 trillion in 2014, largely as a result of purchases of dollar-denominated securities</w:t>
      </w:r>
      <w:r w:rsidR="00CC3088">
        <w:t>.</w:t>
      </w:r>
      <w:r>
        <w:t xml:space="preserve">  </w:t>
      </w:r>
    </w:p>
    <w:p w:rsidR="00FC0E3F" w:rsidRDefault="00FC0E3F" w:rsidP="000D2CDC"/>
    <w:p w:rsidR="00340EDD" w:rsidRDefault="00CC3088" w:rsidP="000D2CDC">
      <w:r>
        <w:t>T</w:t>
      </w:r>
      <w:r w:rsidR="00340EDD">
        <w:t>hi</w:t>
      </w:r>
      <w:r w:rsidR="00C87B42">
        <w:t>s experience</w:t>
      </w:r>
      <w:r w:rsidR="00340EDD">
        <w:t xml:space="preserve"> raises the issue of why the adjustment mechanism has not worked as expected in the context of floating exc</w:t>
      </w:r>
      <w:r w:rsidR="006764BA">
        <w:t xml:space="preserve">hange rates.  The explanation is two-fold:  First, because the US dollar is the world’s key reserve currency, the USA is not subject to the same balance-of-payments constraints that other deficit countries confront.  Second, the world’s largest surplus countries – mostly in Asia as well as Germany – are not </w:t>
      </w:r>
      <w:r w:rsidR="006764BA">
        <w:lastRenderedPageBreak/>
        <w:t>compelled to alter their domestic policies as long as they hold their excess savings in US dollars.  Given this predicament, there is no reason for global current account imbalances to change if the respective domestic policies do not change</w:t>
      </w:r>
      <w:r w:rsidR="00D3108B">
        <w:t xml:space="preserve"> in the USA or the surplus countries</w:t>
      </w:r>
      <w:r w:rsidR="006764BA">
        <w:t>.</w:t>
      </w:r>
    </w:p>
    <w:p w:rsidR="002734C1" w:rsidRDefault="002734C1" w:rsidP="000D2CDC"/>
    <w:p w:rsidR="00D7453C" w:rsidRPr="00791FF7" w:rsidRDefault="00E600ED">
      <w:pPr>
        <w:rPr>
          <w:b/>
        </w:rPr>
      </w:pPr>
      <w:r>
        <w:rPr>
          <w:b/>
        </w:rPr>
        <w:t>J</w:t>
      </w:r>
      <w:r w:rsidR="00D7453C" w:rsidRPr="00791FF7">
        <w:rPr>
          <w:b/>
        </w:rPr>
        <w:t>ob</w:t>
      </w:r>
      <w:r w:rsidR="006764BA" w:rsidRPr="00791FF7">
        <w:rPr>
          <w:b/>
        </w:rPr>
        <w:t xml:space="preserve"> Losse</w:t>
      </w:r>
      <w:r w:rsidR="00D7453C" w:rsidRPr="00791FF7">
        <w:rPr>
          <w:b/>
        </w:rPr>
        <w:t>s in Manufacturing</w:t>
      </w:r>
    </w:p>
    <w:p w:rsidR="004B0D74" w:rsidRDefault="00D3108B">
      <w:r>
        <w:t xml:space="preserve">We now turn to the issue </w:t>
      </w:r>
      <w:r w:rsidR="00C87B42">
        <w:t>raised at the outset: Namely, to what</w:t>
      </w:r>
      <w:r>
        <w:t xml:space="preserve"> extent </w:t>
      </w:r>
      <w:r w:rsidR="00C87B42">
        <w:t>are</w:t>
      </w:r>
      <w:r>
        <w:t xml:space="preserve"> US trade deficits linked with job losses in manufacturing.  As shown in Figure </w:t>
      </w:r>
      <w:r w:rsidR="002734C1">
        <w:t>3</w:t>
      </w:r>
      <w:r>
        <w:t xml:space="preserve">, </w:t>
      </w:r>
      <w:r w:rsidR="007C39D4">
        <w:t xml:space="preserve">US manufacturing jobs reached a peak of 19.5 million in 1979, </w:t>
      </w:r>
      <w:r w:rsidR="00B1588C">
        <w:t xml:space="preserve">and they </w:t>
      </w:r>
      <w:r w:rsidR="007C39D4">
        <w:t xml:space="preserve">have since fallen by 7 million to the current level of </w:t>
      </w:r>
      <w:r w:rsidR="004D46C6">
        <w:t>12</w:t>
      </w:r>
      <w:r w:rsidR="007C39D4">
        <w:t xml:space="preserve">.5 million, which is where </w:t>
      </w:r>
      <w:r w:rsidR="00B1588C">
        <w:t>they</w:t>
      </w:r>
      <w:r w:rsidR="007C39D4">
        <w:t xml:space="preserve"> stood at the onset of World War II.  The initial decline of </w:t>
      </w:r>
      <w:r w:rsidR="00B1588C">
        <w:t xml:space="preserve">approximately </w:t>
      </w:r>
      <w:r w:rsidR="007C39D4">
        <w:t xml:space="preserve">two million workers occurred in </w:t>
      </w:r>
      <w:r w:rsidR="00B1588C">
        <w:t xml:space="preserve">the early 1980s in </w:t>
      </w:r>
      <w:r w:rsidR="007C39D4">
        <w:t>the context of a super-strong doll</w:t>
      </w:r>
      <w:r w:rsidR="00B1588C">
        <w:t xml:space="preserve">ar, which created incentives for US multinationals to increase production outside the USA.  Thereafter, manufacturing jobs held fairly steady until the 2000-2009 period. </w:t>
      </w:r>
    </w:p>
    <w:p w:rsidR="00E600ED" w:rsidRDefault="00E600ED"/>
    <w:p w:rsidR="00E600ED" w:rsidRDefault="00B255A4">
      <w:r>
        <w:t>Figure 3:</w:t>
      </w:r>
      <w:r w:rsidR="00E600ED">
        <w:t xml:space="preserve">  U</w:t>
      </w:r>
      <w:r>
        <w:t>.</w:t>
      </w:r>
      <w:r w:rsidR="00E600ED">
        <w:t>S</w:t>
      </w:r>
      <w:r>
        <w:t>.</w:t>
      </w:r>
      <w:r w:rsidR="00E600ED">
        <w:t xml:space="preserve"> Manufacturing</w:t>
      </w:r>
      <w:r>
        <w:t xml:space="preserve"> Jobs</w:t>
      </w:r>
    </w:p>
    <w:p w:rsidR="00F07900" w:rsidRDefault="00F07900">
      <w:r>
        <w:rPr>
          <w:noProof/>
        </w:rPr>
        <w:drawing>
          <wp:inline distT="0" distB="0" distL="0" distR="0" wp14:anchorId="11256073" wp14:editId="5A722100">
            <wp:extent cx="4776788" cy="2828925"/>
            <wp:effectExtent l="0" t="0" r="508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55A4" w:rsidRPr="00F07900" w:rsidRDefault="00F07900">
      <w:pPr>
        <w:rPr>
          <w:i/>
          <w:sz w:val="16"/>
          <w:szCs w:val="16"/>
        </w:rPr>
      </w:pPr>
      <w:r w:rsidRPr="00F07900">
        <w:rPr>
          <w:i/>
          <w:sz w:val="16"/>
          <w:szCs w:val="16"/>
        </w:rPr>
        <w:t>Source: Bureau of Labor Statistics</w:t>
      </w:r>
      <w:r>
        <w:rPr>
          <w:i/>
          <w:sz w:val="16"/>
          <w:szCs w:val="16"/>
        </w:rPr>
        <w:t>.</w:t>
      </w:r>
    </w:p>
    <w:p w:rsidR="00F07900" w:rsidRDefault="00F07900"/>
    <w:p w:rsidR="00217CF0" w:rsidRDefault="00045EE2">
      <w:r>
        <w:t>T</w:t>
      </w:r>
      <w:r w:rsidR="00217CF0">
        <w:t>he chart also reveals t</w:t>
      </w:r>
      <w:r w:rsidR="00B1588C">
        <w:t xml:space="preserve">here is no evidence to support populist rhetoric that NAFTA, which </w:t>
      </w:r>
      <w:r w:rsidR="00363ABC">
        <w:t xml:space="preserve">came into play at the beginning of 1994, </w:t>
      </w:r>
      <w:r w:rsidR="00B1588C">
        <w:t>created significant job losses.  In fact, the decade of the 1990s was one of the best periods for job creation</w:t>
      </w:r>
      <w:r w:rsidR="00363ABC">
        <w:t xml:space="preserve"> in US history, thanks to strong economic growth that accompanied the boom in technology.</w:t>
      </w:r>
      <w:r w:rsidR="002734C1">
        <w:t xml:space="preserve">  E</w:t>
      </w:r>
      <w:r w:rsidR="00931CBA">
        <w:t>conomi</w:t>
      </w:r>
      <w:r w:rsidR="00363ABC">
        <w:t xml:space="preserve">c studies that have investigated the issue in depth conclude the effect of NAFTA on US jobs </w:t>
      </w:r>
      <w:r w:rsidR="005D6EC5">
        <w:t>i</w:t>
      </w:r>
      <w:r w:rsidR="00363ABC">
        <w:t>s marginal.</w:t>
      </w:r>
      <w:r w:rsidR="00217CF0">
        <w:t xml:space="preserve">  </w:t>
      </w:r>
      <w:r w:rsidR="00363ABC">
        <w:t>A</w:t>
      </w:r>
      <w:r w:rsidR="00CA4F25">
        <w:t xml:space="preserve">mong the leading experts of trade agreements are </w:t>
      </w:r>
      <w:r w:rsidR="004D46C6">
        <w:t xml:space="preserve">Professor </w:t>
      </w:r>
      <w:r w:rsidR="00363ABC">
        <w:t xml:space="preserve">Gary </w:t>
      </w:r>
      <w:r w:rsidR="004D46C6">
        <w:t xml:space="preserve">Clyde </w:t>
      </w:r>
      <w:proofErr w:type="spellStart"/>
      <w:r w:rsidR="00363ABC">
        <w:t>Huffbauer</w:t>
      </w:r>
      <w:proofErr w:type="spellEnd"/>
      <w:r w:rsidR="004D46C6">
        <w:t xml:space="preserve"> of Georgetown University and </w:t>
      </w:r>
      <w:r w:rsidR="00363ABC">
        <w:t xml:space="preserve">Jeffrey </w:t>
      </w:r>
      <w:r w:rsidR="004D46C6">
        <w:t xml:space="preserve">J. </w:t>
      </w:r>
      <w:r w:rsidR="00363ABC">
        <w:t>Schott</w:t>
      </w:r>
      <w:r w:rsidR="004D46C6">
        <w:t xml:space="preserve"> with the Peterson Institute for International Economics.</w:t>
      </w:r>
      <w:r w:rsidR="008E2C0B">
        <w:t xml:space="preserve"> They wrote </w:t>
      </w:r>
      <w:r w:rsidR="004D46C6">
        <w:t>a</w:t>
      </w:r>
      <w:r w:rsidR="008E2C0B">
        <w:t xml:space="preserve"> report during the 2008 presidential campaign</w:t>
      </w:r>
      <w:r w:rsidR="004D46C6">
        <w:t xml:space="preserve"> in </w:t>
      </w:r>
      <w:r>
        <w:t>r</w:t>
      </w:r>
      <w:r w:rsidR="004D46C6">
        <w:t>esponse to claims by then</w:t>
      </w:r>
      <w:r w:rsidR="008E2C0B">
        <w:t xml:space="preserve"> Senator Barrack Obama</w:t>
      </w:r>
      <w:r w:rsidR="004D46C6">
        <w:t>, who</w:t>
      </w:r>
      <w:r w:rsidR="008E2C0B">
        <w:t xml:space="preserve"> </w:t>
      </w:r>
      <w:r w:rsidR="004D46C6">
        <w:t>cited</w:t>
      </w:r>
      <w:r w:rsidR="008E2C0B">
        <w:t xml:space="preserve"> estimates of </w:t>
      </w:r>
      <w:r w:rsidR="00CA4F25">
        <w:t>one million job losses based on an analysis by union-funded economists</w:t>
      </w:r>
      <w:r w:rsidR="008E2C0B">
        <w:t>.</w:t>
      </w:r>
      <w:r w:rsidR="004D46C6">
        <w:rPr>
          <w:rStyle w:val="FootnoteReference"/>
        </w:rPr>
        <w:footnoteReference w:id="3"/>
      </w:r>
      <w:r w:rsidR="008E2C0B">
        <w:t xml:space="preserve">  </w:t>
      </w:r>
      <w:r w:rsidR="00CA4F25">
        <w:t>Their response</w:t>
      </w:r>
      <w:r w:rsidR="00E56137">
        <w:t xml:space="preserve"> is that </w:t>
      </w:r>
      <w:r w:rsidR="00217CF0">
        <w:lastRenderedPageBreak/>
        <w:t>NAFTA’s bad rap is mainly the result of “sound bites and bumper stickers versus real facts and statistics.”</w:t>
      </w:r>
    </w:p>
    <w:p w:rsidR="00045EE2" w:rsidRDefault="00045EE2"/>
    <w:p w:rsidR="00217CF0" w:rsidRDefault="00217CF0">
      <w:r>
        <w:t xml:space="preserve">By comparison, there is </w:t>
      </w:r>
      <w:r w:rsidR="00C975FD">
        <w:t xml:space="preserve">stronger </w:t>
      </w:r>
      <w:r>
        <w:t xml:space="preserve">evidence that US job losses in manufacturing are linked to the widening in the US current account deficit in </w:t>
      </w:r>
      <w:r w:rsidR="00C975FD">
        <w:t>the past decade, when Asian trade surpluses mushroomed.  During this period,</w:t>
      </w:r>
      <w:r w:rsidR="00966AA9">
        <w:t xml:space="preserve"> US</w:t>
      </w:r>
      <w:r w:rsidR="00C975FD">
        <w:t xml:space="preserve"> job losses in manufacturing totaled close to five million.  The steepest declines occurred in the early part of the decade following China’s entry into the WTO and at the end of the end of the decade during the Global Financial Crisis.   </w:t>
      </w:r>
      <w:r>
        <w:t xml:space="preserve"> </w:t>
      </w:r>
    </w:p>
    <w:p w:rsidR="00CA4F25" w:rsidRDefault="00CA4F25"/>
    <w:p w:rsidR="004532F5" w:rsidRDefault="00966AA9">
      <w:r>
        <w:t>It should be noted that t</w:t>
      </w:r>
      <w:r w:rsidR="001E57EA">
        <w:t xml:space="preserve">his phenomenon is not unique to </w:t>
      </w:r>
      <w:r>
        <w:t xml:space="preserve">America: </w:t>
      </w:r>
      <w:r w:rsidR="00E766C0">
        <w:t xml:space="preserve"> </w:t>
      </w:r>
      <w:r w:rsidR="00443041">
        <w:t>M</w:t>
      </w:r>
      <w:r w:rsidR="001E57EA">
        <w:t>ost industrial countries</w:t>
      </w:r>
      <w:r w:rsidR="00443041">
        <w:t xml:space="preserve"> have experienced job losses in manufacturing</w:t>
      </w:r>
      <w:r w:rsidR="001E57EA">
        <w:t>, including Germany and Japan</w:t>
      </w:r>
      <w:r w:rsidR="00D73A42">
        <w:t xml:space="preserve">, which </w:t>
      </w:r>
      <w:r w:rsidR="00443041">
        <w:t xml:space="preserve">traditionally have </w:t>
      </w:r>
      <w:r w:rsidR="00D73A42">
        <w:t>run large trade surpluses</w:t>
      </w:r>
      <w:r w:rsidR="004532F5">
        <w:t xml:space="preserve"> (see Figure </w:t>
      </w:r>
      <w:r w:rsidR="002734C1">
        <w:t>4</w:t>
      </w:r>
      <w:r w:rsidR="004532F5">
        <w:t>).</w:t>
      </w:r>
      <w:r w:rsidR="00227436">
        <w:t xml:space="preserve">  </w:t>
      </w:r>
      <w:r>
        <w:t>Consequently, many economists view the decline in manufacturing jobs as an integral part of a transition advanced economies undergo when they shift to become more service-sector oriented and knowledge-based.  The pace of this transition is based on the rate of technological change; consequently, workers who lack technical skills are often the vict</w:t>
      </w:r>
      <w:r w:rsidR="008C5C51">
        <w:t>i</w:t>
      </w:r>
      <w:r>
        <w:t>ms.</w:t>
      </w:r>
    </w:p>
    <w:p w:rsidR="004532F5" w:rsidRDefault="004532F5"/>
    <w:p w:rsidR="004532F5" w:rsidRDefault="00E600ED">
      <w:r>
        <w:t>Fi</w:t>
      </w:r>
      <w:r w:rsidR="004532F5">
        <w:t xml:space="preserve">gure </w:t>
      </w:r>
      <w:r w:rsidR="00B255A4">
        <w:t>4:</w:t>
      </w:r>
      <w:r w:rsidR="004532F5">
        <w:t xml:space="preserve">  Share of Manufacturing in Total Output for Key Industrial Countries (%)</w:t>
      </w:r>
    </w:p>
    <w:p w:rsidR="00F07900" w:rsidRDefault="00F07900"/>
    <w:p w:rsidR="00B255A4" w:rsidRDefault="00F07900">
      <w:r>
        <w:rPr>
          <w:noProof/>
        </w:rPr>
        <w:drawing>
          <wp:inline distT="0" distB="0" distL="0" distR="0" wp14:anchorId="5D65DDA5" wp14:editId="18A5FA08">
            <wp:extent cx="4781550" cy="29051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7900" w:rsidRDefault="00F07900" w:rsidP="00F07900">
      <w:pPr>
        <w:rPr>
          <w:i/>
          <w:sz w:val="16"/>
          <w:szCs w:val="16"/>
        </w:rPr>
      </w:pPr>
      <w:r w:rsidRPr="00F07900">
        <w:rPr>
          <w:i/>
          <w:sz w:val="16"/>
          <w:szCs w:val="16"/>
        </w:rPr>
        <w:t xml:space="preserve">Source: </w:t>
      </w:r>
      <w:r>
        <w:rPr>
          <w:i/>
          <w:sz w:val="16"/>
          <w:szCs w:val="16"/>
        </w:rPr>
        <w:t>OCED.</w:t>
      </w:r>
    </w:p>
    <w:p w:rsidR="00BC13A1" w:rsidRPr="00F07900" w:rsidRDefault="00BC13A1" w:rsidP="00F07900">
      <w:pPr>
        <w:rPr>
          <w:i/>
          <w:sz w:val="16"/>
          <w:szCs w:val="16"/>
        </w:rPr>
      </w:pPr>
    </w:p>
    <w:p w:rsidR="008C5C51" w:rsidRDefault="00E56137">
      <w:r>
        <w:t xml:space="preserve">Of the leading industrial economies, </w:t>
      </w:r>
      <w:r w:rsidR="00D73A42">
        <w:t xml:space="preserve">Germany has fared </w:t>
      </w:r>
      <w:r>
        <w:t>the best</w:t>
      </w:r>
      <w:r w:rsidR="00D73A42">
        <w:t xml:space="preserve"> </w:t>
      </w:r>
      <w:r w:rsidR="00E766C0">
        <w:t xml:space="preserve">in </w:t>
      </w:r>
      <w:r w:rsidR="00D73A42">
        <w:t>sustaining its manufacturing base</w:t>
      </w:r>
      <w:r>
        <w:t xml:space="preserve">. </w:t>
      </w:r>
      <w:r w:rsidR="008C5C51">
        <w:t xml:space="preserve"> </w:t>
      </w:r>
      <w:r w:rsidR="00692E99">
        <w:t>W</w:t>
      </w:r>
      <w:r w:rsidR="008C5C51">
        <w:t xml:space="preserve">hen </w:t>
      </w:r>
      <w:r>
        <w:t>the country</w:t>
      </w:r>
      <w:r w:rsidR="008C5C51">
        <w:t xml:space="preserve"> was unified in the early 1990s, there was a significant rise in unemployment in the former East Germany, because workers were less productive than their counterparts in West Germany and a 1:1 conversion rate was set between the deutschemark and </w:t>
      </w:r>
      <w:proofErr w:type="spellStart"/>
      <w:r w:rsidR="008C5C51">
        <w:t>ostmarks</w:t>
      </w:r>
      <w:proofErr w:type="spellEnd"/>
      <w:r w:rsidR="008C5C51">
        <w:t>.</w:t>
      </w:r>
      <w:r w:rsidR="00894630">
        <w:t xml:space="preserve"> </w:t>
      </w:r>
      <w:r w:rsidR="008C5C51">
        <w:t xml:space="preserve"> </w:t>
      </w:r>
      <w:r w:rsidR="00692E99">
        <w:t>However, c</w:t>
      </w:r>
      <w:r w:rsidR="008C5C51">
        <w:t xml:space="preserve">onditions eventually stabilized, </w:t>
      </w:r>
      <w:r w:rsidR="00C71266">
        <w:t xml:space="preserve">and </w:t>
      </w:r>
      <w:r w:rsidR="008C5C51">
        <w:t xml:space="preserve">the German economy benefitted from labor market reforms that were undertaken in the mid-2000s, which introduced greater wage flexibility into the system.  In addition, </w:t>
      </w:r>
      <w:r w:rsidR="008C5C51">
        <w:lastRenderedPageBreak/>
        <w:t>Germany’s reliance on small and mid-sized firms and its unique system of on-the-job training has enabled it to meet the challenge from foreign competition</w:t>
      </w:r>
    </w:p>
    <w:p w:rsidR="008C5C51" w:rsidRDefault="008C5C51">
      <w:r>
        <w:t xml:space="preserve"> </w:t>
      </w:r>
    </w:p>
    <w:p w:rsidR="00C71266" w:rsidRDefault="00C71266">
      <w:r>
        <w:t xml:space="preserve">The main takeaway is that while advanced countries have become more service-oriented and knowledge-based as they develop, some have </w:t>
      </w:r>
      <w:r w:rsidR="00045EE2">
        <w:t xml:space="preserve">done </w:t>
      </w:r>
      <w:r>
        <w:t>a better job at sustaining manufacturing jobs.  The key to success is having flexible labor markets</w:t>
      </w:r>
      <w:r w:rsidR="005D6EC5">
        <w:t xml:space="preserve"> and on-the-job training</w:t>
      </w:r>
      <w:r>
        <w:t>.</w:t>
      </w:r>
    </w:p>
    <w:p w:rsidR="00894630" w:rsidRDefault="00894630">
      <w:pPr>
        <w:rPr>
          <w:b/>
        </w:rPr>
      </w:pPr>
    </w:p>
    <w:p w:rsidR="00C71266" w:rsidRPr="00791FF7" w:rsidRDefault="00C71266">
      <w:pPr>
        <w:rPr>
          <w:b/>
        </w:rPr>
      </w:pPr>
      <w:r w:rsidRPr="00791FF7">
        <w:rPr>
          <w:b/>
        </w:rPr>
        <w:t>Policies to Tackle Payments Imbalances</w:t>
      </w:r>
    </w:p>
    <w:p w:rsidR="00B034AF" w:rsidRDefault="00C71266">
      <w:r>
        <w:t xml:space="preserve">While the link between job losses and trade deficits is ambiguous, there is widespread </w:t>
      </w:r>
      <w:r w:rsidR="00B034AF">
        <w:t xml:space="preserve">agreement </w:t>
      </w:r>
      <w:r>
        <w:t xml:space="preserve">among economists and policymakers </w:t>
      </w:r>
      <w:r w:rsidR="00B034AF">
        <w:t xml:space="preserve">that the US current account deficit and surpluses in Asia and Germany are too large.  One concern is they could be de-stabilizing if they </w:t>
      </w:r>
      <w:r w:rsidR="00692E99">
        <w:t xml:space="preserve">were to </w:t>
      </w:r>
      <w:r w:rsidR="00B034AF">
        <w:t xml:space="preserve">result in rapid debt accumulation by deficit countries.  Another concern is they may contribute to protectionism.  Therefore, it is important to consider what policies </w:t>
      </w:r>
      <w:r w:rsidR="00692E99">
        <w:t xml:space="preserve">should </w:t>
      </w:r>
      <w:r w:rsidR="00B034AF">
        <w:t>be pursued to narrow global payments imbalances</w:t>
      </w:r>
      <w:r w:rsidR="000337E0">
        <w:t xml:space="preserve"> that will not unsettle financial markets</w:t>
      </w:r>
      <w:r w:rsidR="00B034AF">
        <w:t xml:space="preserve">. </w:t>
      </w:r>
    </w:p>
    <w:p w:rsidR="00B034AF" w:rsidRDefault="00B034AF"/>
    <w:p w:rsidR="000337E0" w:rsidRDefault="00B5102F">
      <w:r>
        <w:t>The approach the Trump administration is pursuing</w:t>
      </w:r>
      <w:r w:rsidR="00894630">
        <w:t xml:space="preserve"> emphasizes</w:t>
      </w:r>
      <w:r w:rsidR="000337E0">
        <w:t xml:space="preserve"> bilateral trade balances. </w:t>
      </w:r>
    </w:p>
    <w:p w:rsidR="000337E0" w:rsidRDefault="000337E0">
      <w:r>
        <w:t xml:space="preserve">Thus, the Department of </w:t>
      </w:r>
      <w:r w:rsidR="00B5102F">
        <w:t>Commerce</w:t>
      </w:r>
      <w:r>
        <w:t xml:space="preserve"> under</w:t>
      </w:r>
      <w:r w:rsidR="00B5102F">
        <w:t xml:space="preserve"> Secretary Wilbur Mills is focus</w:t>
      </w:r>
      <w:r>
        <w:t>ing</w:t>
      </w:r>
      <w:r w:rsidR="00B5102F">
        <w:t xml:space="preserve"> on countries with the largest bilateral trade imbalances with t</w:t>
      </w:r>
      <w:r>
        <w:t>he United States, and it then disaggregate</w:t>
      </w:r>
      <w:r w:rsidR="00C10FD4">
        <w:t>s</w:t>
      </w:r>
      <w:r>
        <w:t xml:space="preserve"> the</w:t>
      </w:r>
      <w:r w:rsidR="00C10FD4">
        <w:t xml:space="preserve"> imbalances f</w:t>
      </w:r>
      <w:r>
        <w:t xml:space="preserve">urther on product by product basis.  The intent is to pressure surplus countries into reducing their exports to the USA or to increase their imports.  </w:t>
      </w:r>
    </w:p>
    <w:p w:rsidR="000337E0" w:rsidRDefault="000337E0"/>
    <w:p w:rsidR="000337E0" w:rsidRDefault="000337E0">
      <w:r>
        <w:t>The problem with this approach is that it fails to consider the macro forces at play that are the critical drivers of trade imba</w:t>
      </w:r>
      <w:r w:rsidR="00164A94">
        <w:t>lances and exchange rates</w:t>
      </w:r>
      <w:r>
        <w:t>.  Two prominent economists</w:t>
      </w:r>
      <w:r w:rsidR="00C10FD4">
        <w:t xml:space="preserve"> and former policymakers</w:t>
      </w:r>
      <w:r>
        <w:t>, George Shultz and Martin Feldstein, state the flaws with the administration’s approach as follows:</w:t>
      </w:r>
      <w:r w:rsidR="00164A94">
        <w:rPr>
          <w:rStyle w:val="FootnoteReference"/>
        </w:rPr>
        <w:footnoteReference w:id="4"/>
      </w:r>
    </w:p>
    <w:p w:rsidR="000337E0" w:rsidRDefault="000337E0"/>
    <w:p w:rsidR="00164A94" w:rsidRDefault="000337E0">
      <w:r>
        <w:tab/>
        <w:t xml:space="preserve">“If a country consumes more than it produces, it must import </w:t>
      </w:r>
      <w:r w:rsidR="00164A94">
        <w:t>more than it exports.  That’s not a rip-off; that’s arithmetic.  If we manage to negotiate a reduction in the Chinese trade surplus with the United States, we will have an increased trade deficit with some other country.</w:t>
      </w:r>
      <w:r w:rsidR="00E600ED">
        <w:t>”</w:t>
      </w:r>
      <w:r w:rsidR="00164A94">
        <w:t xml:space="preserve">  </w:t>
      </w:r>
    </w:p>
    <w:p w:rsidR="00164A94" w:rsidRDefault="00164A94"/>
    <w:p w:rsidR="006E1A70" w:rsidRDefault="00164A94">
      <w:r>
        <w:t xml:space="preserve">The argument that Shultz and Feldstein </w:t>
      </w:r>
      <w:r w:rsidR="00C10FD4">
        <w:t>advance i</w:t>
      </w:r>
      <w:r>
        <w:t xml:space="preserve">n essence is the “twin deficit” view that was discussed previously.  </w:t>
      </w:r>
      <w:r w:rsidR="003C3D1C">
        <w:t>It</w:t>
      </w:r>
      <w:r w:rsidR="00C10FD4">
        <w:t xml:space="preserve"> </w:t>
      </w:r>
      <w:r w:rsidR="003C3D1C">
        <w:t>concludes the United States will continue to run large trade deficits as long as the federal budget deficit remains large</w:t>
      </w:r>
      <w:r w:rsidR="00C10FD4">
        <w:t>.</w:t>
      </w:r>
      <w:r w:rsidR="000337E0">
        <w:t xml:space="preserve"> </w:t>
      </w:r>
      <w:r w:rsidR="005D6EC5">
        <w:t xml:space="preserve">According to CBO, in the absence of any policy changes the US budget deficit will balloon in the coming decade as aging baby boomers add to costs of entitlement reforms (Figure 5). </w:t>
      </w:r>
      <w:r w:rsidR="000337E0">
        <w:t xml:space="preserve"> </w:t>
      </w:r>
      <w:r w:rsidR="004532F5">
        <w:t>O</w:t>
      </w:r>
      <w:r w:rsidR="006E1A70">
        <w:t xml:space="preserve">ne </w:t>
      </w:r>
      <w:r w:rsidR="00C10FD4">
        <w:t>way</w:t>
      </w:r>
      <w:r w:rsidR="006E1A70">
        <w:t xml:space="preserve"> the Trump administration can </w:t>
      </w:r>
      <w:r w:rsidR="00C10FD4">
        <w:t>lower the trade deficit</w:t>
      </w:r>
      <w:r w:rsidR="006E1A70">
        <w:t xml:space="preserve"> </w:t>
      </w:r>
      <w:r w:rsidR="00C10FD4">
        <w:t xml:space="preserve">is to reduce </w:t>
      </w:r>
      <w:r w:rsidR="006E1A70">
        <w:t>the size of the budget deficit</w:t>
      </w:r>
      <w:r w:rsidR="005D6EC5">
        <w:t>; however,</w:t>
      </w:r>
      <w:r w:rsidR="006E1A70">
        <w:t xml:space="preserve"> prospective tax cuts </w:t>
      </w:r>
      <w:r w:rsidR="005D6EC5">
        <w:t>are likely to</w:t>
      </w:r>
      <w:r w:rsidR="006E1A70">
        <w:t xml:space="preserve"> cause it to expand</w:t>
      </w:r>
      <w:r w:rsidR="00C10FD4">
        <w:t>.</w:t>
      </w:r>
    </w:p>
    <w:p w:rsidR="005D6EC5" w:rsidRDefault="005D6EC5"/>
    <w:p w:rsidR="00BC13A1" w:rsidRDefault="00BC13A1"/>
    <w:p w:rsidR="00BC13A1" w:rsidRDefault="00BC13A1"/>
    <w:p w:rsidR="005D6EC5" w:rsidRDefault="005D6EC5"/>
    <w:p w:rsidR="005D6EC5" w:rsidRDefault="005D6EC5">
      <w:r>
        <w:t>Figure 5</w:t>
      </w:r>
      <w:r w:rsidR="00B255A4">
        <w:t>:</w:t>
      </w:r>
      <w:r>
        <w:t xml:space="preserve">  CBO Projections of Future Budget Deficits</w:t>
      </w:r>
      <w:r w:rsidR="00A02953">
        <w:t xml:space="preserve"> (</w:t>
      </w:r>
      <w:proofErr w:type="gramStart"/>
      <w:r w:rsidR="00A02953">
        <w:t>%  of</w:t>
      </w:r>
      <w:proofErr w:type="gramEnd"/>
      <w:r w:rsidR="00A02953">
        <w:t xml:space="preserve"> GDP)</w:t>
      </w:r>
      <w:bookmarkStart w:id="0" w:name="_GoBack"/>
      <w:bookmarkEnd w:id="0"/>
    </w:p>
    <w:p w:rsidR="00B255A4" w:rsidRDefault="00B255A4"/>
    <w:p w:rsidR="00B255A4" w:rsidRDefault="00B255A4">
      <w:r w:rsidRPr="00B255A4">
        <w:rPr>
          <w:noProof/>
        </w:rPr>
        <w:drawing>
          <wp:inline distT="0" distB="0" distL="0" distR="0" wp14:anchorId="04376E90" wp14:editId="48608AEA">
            <wp:extent cx="5486400" cy="3487420"/>
            <wp:effectExtent l="0" t="0" r="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55A4" w:rsidRDefault="00B255A4"/>
    <w:p w:rsidR="00791FF7" w:rsidRDefault="00B255A4">
      <w:r>
        <w:t>Source: Congressional Budget Office</w:t>
      </w:r>
    </w:p>
    <w:p w:rsidR="00BC13A1" w:rsidRDefault="00BC13A1"/>
    <w:p w:rsidR="00BC13A1" w:rsidRDefault="00BC13A1" w:rsidP="00BC13A1">
      <w:r>
        <w:t>Beyond this, it is also relevant to consider what can be done to encourage surplus countries to increase domestic spending.  This has proved to be a challenge throughout the period of flexible exchange rates.  In the 1980s, for example, the US government conceived a “locomotive strategy” in which the leading surplus countries – Japan and Germany – would boost government spending to stimulate economic growth.  When this did not materialize, the US government subsequently pressured Japan to restrain its exports to the USA and to allow the yen to appreciate steadily.  Yet, the huge appreciation of the yen during the 1980s and 1990s had little effect on Japan’s current account surplus.</w:t>
      </w:r>
    </w:p>
    <w:p w:rsidR="00BC13A1" w:rsidRDefault="00BC13A1" w:rsidP="00BC13A1"/>
    <w:p w:rsidR="00BC13A1" w:rsidRDefault="00BC13A1" w:rsidP="00BC13A1">
      <w:r>
        <w:t>The situation today is equally daunting, with China and emerging Asian economies also running persistent large surpluses.  These countries followed Japan’s example and based their development strategies on promoting strong export growth, as American consumers became hooked on cheap imports.</w:t>
      </w:r>
    </w:p>
    <w:p w:rsidR="00BC13A1" w:rsidRDefault="00BC13A1" w:rsidP="00BC13A1"/>
    <w:p w:rsidR="00BC13A1" w:rsidRDefault="00BC13A1" w:rsidP="00BC13A1">
      <w:r>
        <w:t xml:space="preserve">Since the mid-2000s US policymakers have pressed the Chinese authorities to refrain from purchasing dollars to keep the yuan artificially cheap, and Chinese foreign exchange reserves have fallen by about one trillion dollars in recent years.  This suggests they have acted to limit the depreciation of the yuan against the dollar, and the argument that China is manipulating its currency to weaken it no longer applies.  While the Trump </w:t>
      </w:r>
      <w:r>
        <w:lastRenderedPageBreak/>
        <w:t>administration has not brought trade sanctions against China thus far, the main reason is it is trying to incent the Chinese government to use its influence on North Korea to lessen geo-political tensions.  However, the administration could change its stance at any time if it deems the Chinese government is not doing enough to restrain the government of North Korea or to reduce US-China trade imbalances.  Consequently, the risk of protectionism and retaliation remains a risk to the outlook.</w:t>
      </w:r>
    </w:p>
    <w:p w:rsidR="00BC13A1" w:rsidRDefault="00BC13A1"/>
    <w:sectPr w:rsidR="00BC13A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C7" w:rsidRDefault="00062FC7" w:rsidP="008073AE">
      <w:r>
        <w:separator/>
      </w:r>
    </w:p>
  </w:endnote>
  <w:endnote w:type="continuationSeparator" w:id="0">
    <w:p w:rsidR="00062FC7" w:rsidRDefault="00062FC7" w:rsidP="0080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C7" w:rsidRDefault="00062FC7" w:rsidP="008073AE">
      <w:r>
        <w:separator/>
      </w:r>
    </w:p>
  </w:footnote>
  <w:footnote w:type="continuationSeparator" w:id="0">
    <w:p w:rsidR="00062FC7" w:rsidRDefault="00062FC7" w:rsidP="008073AE">
      <w:r>
        <w:continuationSeparator/>
      </w:r>
    </w:p>
  </w:footnote>
  <w:footnote w:id="1">
    <w:p w:rsidR="00AA6BEE" w:rsidRDefault="00AA6BEE">
      <w:pPr>
        <w:pStyle w:val="FootnoteText"/>
      </w:pPr>
      <w:r>
        <w:rPr>
          <w:rStyle w:val="FootnoteReference"/>
        </w:rPr>
        <w:footnoteRef/>
      </w:r>
      <w:r>
        <w:t xml:space="preserve"> Ben S. Bernanke, “The Global Saving Glut and the US Current Account Deficit,” Board of Governors of the Federal Reserve, April 14, 2005. </w:t>
      </w:r>
    </w:p>
  </w:footnote>
  <w:footnote w:id="2">
    <w:p w:rsidR="00BC13A1" w:rsidRDefault="00BC13A1" w:rsidP="00BC13A1">
      <w:pPr>
        <w:pStyle w:val="FootnoteText"/>
      </w:pPr>
      <w:r>
        <w:rPr>
          <w:rStyle w:val="FootnoteReference"/>
        </w:rPr>
        <w:footnoteRef/>
      </w:r>
      <w:r>
        <w:t xml:space="preserve"> Robert Z. Aliber commentary, July 3, 2017.</w:t>
      </w:r>
    </w:p>
  </w:footnote>
  <w:footnote w:id="3">
    <w:p w:rsidR="004D46C6" w:rsidRDefault="004D46C6">
      <w:pPr>
        <w:pStyle w:val="FootnoteText"/>
      </w:pPr>
      <w:r>
        <w:rPr>
          <w:rStyle w:val="FootnoteReference"/>
        </w:rPr>
        <w:footnoteRef/>
      </w:r>
      <w:r>
        <w:t xml:space="preserve"> Gary </w:t>
      </w:r>
      <w:proofErr w:type="spellStart"/>
      <w:r>
        <w:t>Glyde</w:t>
      </w:r>
      <w:proofErr w:type="spellEnd"/>
      <w:r>
        <w:t xml:space="preserve"> </w:t>
      </w:r>
      <w:proofErr w:type="spellStart"/>
      <w:r>
        <w:t>Huffbauer</w:t>
      </w:r>
      <w:proofErr w:type="spellEnd"/>
      <w:r>
        <w:t xml:space="preserve"> and Jeffrey J. Schott, “NAFTA’s Bad Rap,” The International Economy, </w:t>
      </w:r>
      <w:proofErr w:type="gramStart"/>
      <w:r>
        <w:t>Summer</w:t>
      </w:r>
      <w:proofErr w:type="gramEnd"/>
      <w:r>
        <w:t xml:space="preserve"> 2008.</w:t>
      </w:r>
    </w:p>
  </w:footnote>
  <w:footnote w:id="4">
    <w:p w:rsidR="00164A94" w:rsidRDefault="00164A94">
      <w:pPr>
        <w:pStyle w:val="FootnoteText"/>
      </w:pPr>
      <w:r>
        <w:rPr>
          <w:rStyle w:val="FootnoteReference"/>
        </w:rPr>
        <w:footnoteRef/>
      </w:r>
      <w:r>
        <w:t xml:space="preserve"> George P. Shultz and Martin Feldstein, “Everything you need to know about trade economics in 70 words,” Washington Post, May 5, 2017.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51"/>
    <w:rsid w:val="00024F59"/>
    <w:rsid w:val="000261E3"/>
    <w:rsid w:val="00026E9C"/>
    <w:rsid w:val="000337E0"/>
    <w:rsid w:val="00045EE2"/>
    <w:rsid w:val="00053368"/>
    <w:rsid w:val="00062FC7"/>
    <w:rsid w:val="000A71C4"/>
    <w:rsid w:val="000D2CDC"/>
    <w:rsid w:val="00152FAC"/>
    <w:rsid w:val="0016220E"/>
    <w:rsid w:val="00164A94"/>
    <w:rsid w:val="001A2E8C"/>
    <w:rsid w:val="001E57EA"/>
    <w:rsid w:val="001F3B07"/>
    <w:rsid w:val="00206F8F"/>
    <w:rsid w:val="002162E3"/>
    <w:rsid w:val="00217CF0"/>
    <w:rsid w:val="00227436"/>
    <w:rsid w:val="002316F3"/>
    <w:rsid w:val="00233FFD"/>
    <w:rsid w:val="00235FDE"/>
    <w:rsid w:val="002403FF"/>
    <w:rsid w:val="002734C1"/>
    <w:rsid w:val="00293E03"/>
    <w:rsid w:val="002A198F"/>
    <w:rsid w:val="002D0C08"/>
    <w:rsid w:val="002E4945"/>
    <w:rsid w:val="002F3FF9"/>
    <w:rsid w:val="00306CC3"/>
    <w:rsid w:val="003137C2"/>
    <w:rsid w:val="00316265"/>
    <w:rsid w:val="003322DE"/>
    <w:rsid w:val="00340EDD"/>
    <w:rsid w:val="003633F0"/>
    <w:rsid w:val="00363ABC"/>
    <w:rsid w:val="003A7EC1"/>
    <w:rsid w:val="003C3D1C"/>
    <w:rsid w:val="003E486F"/>
    <w:rsid w:val="003F55E7"/>
    <w:rsid w:val="00443041"/>
    <w:rsid w:val="004532F5"/>
    <w:rsid w:val="00473100"/>
    <w:rsid w:val="004A0D5B"/>
    <w:rsid w:val="004B0462"/>
    <w:rsid w:val="004B0D74"/>
    <w:rsid w:val="004D46C6"/>
    <w:rsid w:val="005226E3"/>
    <w:rsid w:val="00530AEA"/>
    <w:rsid w:val="00553992"/>
    <w:rsid w:val="005C13D5"/>
    <w:rsid w:val="005C660F"/>
    <w:rsid w:val="005D6EC5"/>
    <w:rsid w:val="005D7A19"/>
    <w:rsid w:val="00605D19"/>
    <w:rsid w:val="00620386"/>
    <w:rsid w:val="00656BB1"/>
    <w:rsid w:val="006764BA"/>
    <w:rsid w:val="006771CA"/>
    <w:rsid w:val="006828DC"/>
    <w:rsid w:val="006846B7"/>
    <w:rsid w:val="00690FF9"/>
    <w:rsid w:val="0069215B"/>
    <w:rsid w:val="00692E99"/>
    <w:rsid w:val="006B2819"/>
    <w:rsid w:val="006E1A70"/>
    <w:rsid w:val="006F1605"/>
    <w:rsid w:val="006F223C"/>
    <w:rsid w:val="007131BE"/>
    <w:rsid w:val="007215C8"/>
    <w:rsid w:val="00735BCE"/>
    <w:rsid w:val="007462C0"/>
    <w:rsid w:val="007813FD"/>
    <w:rsid w:val="00791FF7"/>
    <w:rsid w:val="007C39D4"/>
    <w:rsid w:val="007D19C8"/>
    <w:rsid w:val="007D6500"/>
    <w:rsid w:val="007E2189"/>
    <w:rsid w:val="007E276C"/>
    <w:rsid w:val="007F2A82"/>
    <w:rsid w:val="00805CAB"/>
    <w:rsid w:val="008073AE"/>
    <w:rsid w:val="008116A0"/>
    <w:rsid w:val="0081602C"/>
    <w:rsid w:val="008161A9"/>
    <w:rsid w:val="00823815"/>
    <w:rsid w:val="00827BA3"/>
    <w:rsid w:val="008703EB"/>
    <w:rsid w:val="0087790B"/>
    <w:rsid w:val="00882686"/>
    <w:rsid w:val="00894630"/>
    <w:rsid w:val="008C0352"/>
    <w:rsid w:val="008C41E3"/>
    <w:rsid w:val="008C5C51"/>
    <w:rsid w:val="008D4FBD"/>
    <w:rsid w:val="008E2C0B"/>
    <w:rsid w:val="008F33AE"/>
    <w:rsid w:val="00905579"/>
    <w:rsid w:val="00925022"/>
    <w:rsid w:val="00930CA1"/>
    <w:rsid w:val="00931CBA"/>
    <w:rsid w:val="00966AA9"/>
    <w:rsid w:val="009865DA"/>
    <w:rsid w:val="009929C5"/>
    <w:rsid w:val="009A020F"/>
    <w:rsid w:val="009C0335"/>
    <w:rsid w:val="009E6A98"/>
    <w:rsid w:val="00A02953"/>
    <w:rsid w:val="00A05DFD"/>
    <w:rsid w:val="00A11E5A"/>
    <w:rsid w:val="00AA6BEE"/>
    <w:rsid w:val="00AC0079"/>
    <w:rsid w:val="00AC1719"/>
    <w:rsid w:val="00AC3EFD"/>
    <w:rsid w:val="00AD5735"/>
    <w:rsid w:val="00AE3C64"/>
    <w:rsid w:val="00AE45ED"/>
    <w:rsid w:val="00AF55B8"/>
    <w:rsid w:val="00B034AF"/>
    <w:rsid w:val="00B132E3"/>
    <w:rsid w:val="00B1588C"/>
    <w:rsid w:val="00B255A4"/>
    <w:rsid w:val="00B3736C"/>
    <w:rsid w:val="00B5102F"/>
    <w:rsid w:val="00B6303A"/>
    <w:rsid w:val="00B761BD"/>
    <w:rsid w:val="00B7776B"/>
    <w:rsid w:val="00B920F7"/>
    <w:rsid w:val="00B943B0"/>
    <w:rsid w:val="00BC1151"/>
    <w:rsid w:val="00BC13A1"/>
    <w:rsid w:val="00BC3A74"/>
    <w:rsid w:val="00C0023B"/>
    <w:rsid w:val="00C10FD4"/>
    <w:rsid w:val="00C13EAD"/>
    <w:rsid w:val="00C27B81"/>
    <w:rsid w:val="00C46F6E"/>
    <w:rsid w:val="00C71266"/>
    <w:rsid w:val="00C87B42"/>
    <w:rsid w:val="00C975FD"/>
    <w:rsid w:val="00CA4F25"/>
    <w:rsid w:val="00CB64B5"/>
    <w:rsid w:val="00CC3088"/>
    <w:rsid w:val="00CC689E"/>
    <w:rsid w:val="00CE15C0"/>
    <w:rsid w:val="00CE36A6"/>
    <w:rsid w:val="00CE5E33"/>
    <w:rsid w:val="00D3108B"/>
    <w:rsid w:val="00D66F96"/>
    <w:rsid w:val="00D73A42"/>
    <w:rsid w:val="00D7453C"/>
    <w:rsid w:val="00D77EF1"/>
    <w:rsid w:val="00D837EC"/>
    <w:rsid w:val="00DA2E34"/>
    <w:rsid w:val="00DC5363"/>
    <w:rsid w:val="00DD53E7"/>
    <w:rsid w:val="00E30263"/>
    <w:rsid w:val="00E542F4"/>
    <w:rsid w:val="00E56137"/>
    <w:rsid w:val="00E600ED"/>
    <w:rsid w:val="00E63A81"/>
    <w:rsid w:val="00E66DD0"/>
    <w:rsid w:val="00E766C0"/>
    <w:rsid w:val="00EB1759"/>
    <w:rsid w:val="00EC5055"/>
    <w:rsid w:val="00F07900"/>
    <w:rsid w:val="00F270BA"/>
    <w:rsid w:val="00F60C6C"/>
    <w:rsid w:val="00F6519F"/>
    <w:rsid w:val="00FA759B"/>
    <w:rsid w:val="00FC0E3F"/>
    <w:rsid w:val="00FC73D6"/>
    <w:rsid w:val="00FD79C5"/>
    <w:rsid w:val="00FE36CD"/>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25153-B99F-4654-A839-5780076C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073AE"/>
    <w:rPr>
      <w:sz w:val="20"/>
      <w:szCs w:val="20"/>
    </w:rPr>
  </w:style>
  <w:style w:type="character" w:customStyle="1" w:styleId="FootnoteTextChar">
    <w:name w:val="Footnote Text Char"/>
    <w:basedOn w:val="DefaultParagraphFont"/>
    <w:link w:val="FootnoteText"/>
    <w:rsid w:val="008073AE"/>
  </w:style>
  <w:style w:type="character" w:styleId="FootnoteReference">
    <w:name w:val="footnote reference"/>
    <w:basedOn w:val="DefaultParagraphFont"/>
    <w:rsid w:val="008073AE"/>
    <w:rPr>
      <w:vertAlign w:val="superscript"/>
    </w:rPr>
  </w:style>
  <w:style w:type="paragraph" w:styleId="NormalWeb">
    <w:name w:val="Normal (Web)"/>
    <w:basedOn w:val="Normal"/>
    <w:uiPriority w:val="99"/>
    <w:unhideWhenUsed/>
    <w:rsid w:val="00B255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infs06p.ws.wsfgrp.net\finance_vol1\grps\FWIA\Marketing\Presentations\FWIA%20People%20and%20Departments\Nick%20Sargen\2017\twin%20deficit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wickerh\AppData\Local\Microsoft\Windows\Temporary%20Internet%20Files\Content.Outlook\CTO8WGQB\nick%20charts%20CA%20vs%20BD%20and%20jobs%20in%20manufactur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wickerh\AppData\Local\Microsoft\Windows\Temporary%20Internet%20Files\Content.Outlook\CTO8WGQB\nick%20charts%20CA%20vs%20BD%20and%20jobs%20in%20manufacturi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wickerh\AppData\Local\Microsoft\Windows\Temporary%20Internet%20Files\Content.Outlook\CTO8WGQB\nick%20charts%20CA%20vs%20BD%20and%20jobs%20in%20manufacturi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louden\AppData\Local\Microsoft\Windows\Temporary%20Internet%20Files\Content.Outlook\4W54EJFL\Nick%20Charts%201%2030%2017.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772586199834261E-2"/>
          <c:y val="1.844532279314888E-2"/>
          <c:w val="0.93961716970252673"/>
          <c:h val="0.74342736065914672"/>
        </c:manualLayout>
      </c:layout>
      <c:lineChart>
        <c:grouping val="standard"/>
        <c:varyColors val="0"/>
        <c:ser>
          <c:idx val="6"/>
          <c:order val="0"/>
          <c:tx>
            <c:strRef>
              <c:f>Worksheet!$G$1</c:f>
              <c:strCache>
                <c:ptCount val="1"/>
                <c:pt idx="0">
                  <c:v>US Curr Account % of GDP Reagan Years</c:v>
                </c:pt>
              </c:strCache>
            </c:strRef>
          </c:tx>
          <c:spPr>
            <a:ln w="101600" cap="rnd">
              <a:solidFill>
                <a:srgbClr val="FFFF00"/>
              </a:solidFill>
              <a:round/>
            </a:ln>
            <a:effectLst/>
          </c:spPr>
          <c:marker>
            <c:symbol val="none"/>
          </c:marker>
          <c:cat>
            <c:numRef>
              <c:f>Worksheet!$A$2:$A$55</c:f>
              <c:numCache>
                <c:formatCode>m/d/yyyy</c:formatCode>
                <c:ptCount val="54"/>
                <c:pt idx="0">
                  <c:v>44196</c:v>
                </c:pt>
                <c:pt idx="1">
                  <c:v>43830</c:v>
                </c:pt>
                <c:pt idx="2">
                  <c:v>43465</c:v>
                </c:pt>
                <c:pt idx="3">
                  <c:v>43100</c:v>
                </c:pt>
                <c:pt idx="4">
                  <c:v>42735</c:v>
                </c:pt>
                <c:pt idx="5">
                  <c:v>42369</c:v>
                </c:pt>
                <c:pt idx="6">
                  <c:v>42004</c:v>
                </c:pt>
                <c:pt idx="7">
                  <c:v>41639</c:v>
                </c:pt>
                <c:pt idx="8">
                  <c:v>41274</c:v>
                </c:pt>
                <c:pt idx="9">
                  <c:v>40908</c:v>
                </c:pt>
                <c:pt idx="10">
                  <c:v>40543</c:v>
                </c:pt>
                <c:pt idx="11">
                  <c:v>40178</c:v>
                </c:pt>
                <c:pt idx="12">
                  <c:v>39813</c:v>
                </c:pt>
                <c:pt idx="13">
                  <c:v>39447</c:v>
                </c:pt>
                <c:pt idx="14">
                  <c:v>39082</c:v>
                </c:pt>
                <c:pt idx="15">
                  <c:v>38717</c:v>
                </c:pt>
                <c:pt idx="16">
                  <c:v>38352</c:v>
                </c:pt>
                <c:pt idx="17">
                  <c:v>37986</c:v>
                </c:pt>
                <c:pt idx="18">
                  <c:v>37621</c:v>
                </c:pt>
                <c:pt idx="19">
                  <c:v>37256</c:v>
                </c:pt>
                <c:pt idx="20">
                  <c:v>36891</c:v>
                </c:pt>
                <c:pt idx="21">
                  <c:v>36525</c:v>
                </c:pt>
                <c:pt idx="22">
                  <c:v>36160</c:v>
                </c:pt>
                <c:pt idx="23">
                  <c:v>35795</c:v>
                </c:pt>
                <c:pt idx="24">
                  <c:v>35430</c:v>
                </c:pt>
                <c:pt idx="25">
                  <c:v>35064</c:v>
                </c:pt>
                <c:pt idx="26">
                  <c:v>34699</c:v>
                </c:pt>
                <c:pt idx="27">
                  <c:v>34334</c:v>
                </c:pt>
                <c:pt idx="28">
                  <c:v>33969</c:v>
                </c:pt>
                <c:pt idx="29">
                  <c:v>33603</c:v>
                </c:pt>
                <c:pt idx="30">
                  <c:v>33238</c:v>
                </c:pt>
                <c:pt idx="31">
                  <c:v>32873</c:v>
                </c:pt>
                <c:pt idx="32">
                  <c:v>32508</c:v>
                </c:pt>
                <c:pt idx="33">
                  <c:v>32142</c:v>
                </c:pt>
                <c:pt idx="34">
                  <c:v>31777</c:v>
                </c:pt>
                <c:pt idx="35">
                  <c:v>31412</c:v>
                </c:pt>
                <c:pt idx="36">
                  <c:v>31047</c:v>
                </c:pt>
                <c:pt idx="37">
                  <c:v>30681</c:v>
                </c:pt>
                <c:pt idx="38">
                  <c:v>30316</c:v>
                </c:pt>
                <c:pt idx="39">
                  <c:v>29951</c:v>
                </c:pt>
                <c:pt idx="40">
                  <c:v>29586</c:v>
                </c:pt>
                <c:pt idx="41">
                  <c:v>29220</c:v>
                </c:pt>
                <c:pt idx="42">
                  <c:v>28855</c:v>
                </c:pt>
                <c:pt idx="43">
                  <c:v>28490</c:v>
                </c:pt>
                <c:pt idx="44">
                  <c:v>28125</c:v>
                </c:pt>
                <c:pt idx="45">
                  <c:v>27759</c:v>
                </c:pt>
                <c:pt idx="46">
                  <c:v>27394</c:v>
                </c:pt>
                <c:pt idx="47">
                  <c:v>27029</c:v>
                </c:pt>
                <c:pt idx="48">
                  <c:v>26664</c:v>
                </c:pt>
                <c:pt idx="49">
                  <c:v>26298</c:v>
                </c:pt>
                <c:pt idx="50">
                  <c:v>25933</c:v>
                </c:pt>
                <c:pt idx="51">
                  <c:v>25568</c:v>
                </c:pt>
                <c:pt idx="52">
                  <c:v>25203</c:v>
                </c:pt>
                <c:pt idx="53">
                  <c:v>24837</c:v>
                </c:pt>
              </c:numCache>
            </c:numRef>
          </c:cat>
          <c:val>
            <c:numRef>
              <c:f>Worksheet!$G$2:$G$55</c:f>
              <c:numCache>
                <c:formatCode>General</c:formatCode>
                <c:ptCount val="54"/>
                <c:pt idx="32">
                  <c:v>-2.2400000000000002</c:v>
                </c:pt>
                <c:pt idx="33">
                  <c:v>-3.2</c:v>
                </c:pt>
                <c:pt idx="34">
                  <c:v>-3.15</c:v>
                </c:pt>
                <c:pt idx="35">
                  <c:v>-2.65</c:v>
                </c:pt>
                <c:pt idx="36">
                  <c:v>-2.27</c:v>
                </c:pt>
                <c:pt idx="37">
                  <c:v>-1.02</c:v>
                </c:pt>
                <c:pt idx="38">
                  <c:v>-0.16</c:v>
                </c:pt>
                <c:pt idx="39">
                  <c:v>0.15</c:v>
                </c:pt>
              </c:numCache>
            </c:numRef>
          </c:val>
          <c:smooth val="0"/>
        </c:ser>
        <c:ser>
          <c:idx val="5"/>
          <c:order val="1"/>
          <c:tx>
            <c:strRef>
              <c:f>Worksheet!$F$1</c:f>
              <c:strCache>
                <c:ptCount val="1"/>
                <c:pt idx="0">
                  <c:v>US Budget Deficit % of GDP Reagan Years</c:v>
                </c:pt>
              </c:strCache>
            </c:strRef>
          </c:tx>
          <c:spPr>
            <a:ln w="101600" cap="rnd" cmpd="sng">
              <a:solidFill>
                <a:srgbClr val="FFFF00"/>
              </a:solidFill>
              <a:prstDash val="solid"/>
              <a:round/>
            </a:ln>
            <a:effectLst/>
          </c:spPr>
          <c:marker>
            <c:symbol val="none"/>
          </c:marker>
          <c:cat>
            <c:numRef>
              <c:f>Worksheet!$A$2:$A$55</c:f>
              <c:numCache>
                <c:formatCode>m/d/yyyy</c:formatCode>
                <c:ptCount val="54"/>
                <c:pt idx="0">
                  <c:v>44196</c:v>
                </c:pt>
                <c:pt idx="1">
                  <c:v>43830</c:v>
                </c:pt>
                <c:pt idx="2">
                  <c:v>43465</c:v>
                </c:pt>
                <c:pt idx="3">
                  <c:v>43100</c:v>
                </c:pt>
                <c:pt idx="4">
                  <c:v>42735</c:v>
                </c:pt>
                <c:pt idx="5">
                  <c:v>42369</c:v>
                </c:pt>
                <c:pt idx="6">
                  <c:v>42004</c:v>
                </c:pt>
                <c:pt idx="7">
                  <c:v>41639</c:v>
                </c:pt>
                <c:pt idx="8">
                  <c:v>41274</c:v>
                </c:pt>
                <c:pt idx="9">
                  <c:v>40908</c:v>
                </c:pt>
                <c:pt idx="10">
                  <c:v>40543</c:v>
                </c:pt>
                <c:pt idx="11">
                  <c:v>40178</c:v>
                </c:pt>
                <c:pt idx="12">
                  <c:v>39813</c:v>
                </c:pt>
                <c:pt idx="13">
                  <c:v>39447</c:v>
                </c:pt>
                <c:pt idx="14">
                  <c:v>39082</c:v>
                </c:pt>
                <c:pt idx="15">
                  <c:v>38717</c:v>
                </c:pt>
                <c:pt idx="16">
                  <c:v>38352</c:v>
                </c:pt>
                <c:pt idx="17">
                  <c:v>37986</c:v>
                </c:pt>
                <c:pt idx="18">
                  <c:v>37621</c:v>
                </c:pt>
                <c:pt idx="19">
                  <c:v>37256</c:v>
                </c:pt>
                <c:pt idx="20">
                  <c:v>36891</c:v>
                </c:pt>
                <c:pt idx="21">
                  <c:v>36525</c:v>
                </c:pt>
                <c:pt idx="22">
                  <c:v>36160</c:v>
                </c:pt>
                <c:pt idx="23">
                  <c:v>35795</c:v>
                </c:pt>
                <c:pt idx="24">
                  <c:v>35430</c:v>
                </c:pt>
                <c:pt idx="25">
                  <c:v>35064</c:v>
                </c:pt>
                <c:pt idx="26">
                  <c:v>34699</c:v>
                </c:pt>
                <c:pt idx="27">
                  <c:v>34334</c:v>
                </c:pt>
                <c:pt idx="28">
                  <c:v>33969</c:v>
                </c:pt>
                <c:pt idx="29">
                  <c:v>33603</c:v>
                </c:pt>
                <c:pt idx="30">
                  <c:v>33238</c:v>
                </c:pt>
                <c:pt idx="31">
                  <c:v>32873</c:v>
                </c:pt>
                <c:pt idx="32">
                  <c:v>32508</c:v>
                </c:pt>
                <c:pt idx="33">
                  <c:v>32142</c:v>
                </c:pt>
                <c:pt idx="34">
                  <c:v>31777</c:v>
                </c:pt>
                <c:pt idx="35">
                  <c:v>31412</c:v>
                </c:pt>
                <c:pt idx="36">
                  <c:v>31047</c:v>
                </c:pt>
                <c:pt idx="37">
                  <c:v>30681</c:v>
                </c:pt>
                <c:pt idx="38">
                  <c:v>30316</c:v>
                </c:pt>
                <c:pt idx="39">
                  <c:v>29951</c:v>
                </c:pt>
                <c:pt idx="40">
                  <c:v>29586</c:v>
                </c:pt>
                <c:pt idx="41">
                  <c:v>29220</c:v>
                </c:pt>
                <c:pt idx="42">
                  <c:v>28855</c:v>
                </c:pt>
                <c:pt idx="43">
                  <c:v>28490</c:v>
                </c:pt>
                <c:pt idx="44">
                  <c:v>28125</c:v>
                </c:pt>
                <c:pt idx="45">
                  <c:v>27759</c:v>
                </c:pt>
                <c:pt idx="46">
                  <c:v>27394</c:v>
                </c:pt>
                <c:pt idx="47">
                  <c:v>27029</c:v>
                </c:pt>
                <c:pt idx="48">
                  <c:v>26664</c:v>
                </c:pt>
                <c:pt idx="49">
                  <c:v>26298</c:v>
                </c:pt>
                <c:pt idx="50">
                  <c:v>25933</c:v>
                </c:pt>
                <c:pt idx="51">
                  <c:v>25568</c:v>
                </c:pt>
                <c:pt idx="52">
                  <c:v>25203</c:v>
                </c:pt>
                <c:pt idx="53">
                  <c:v>24837</c:v>
                </c:pt>
              </c:numCache>
            </c:numRef>
          </c:cat>
          <c:val>
            <c:numRef>
              <c:f>Worksheet!$F$2:$F$55</c:f>
              <c:numCache>
                <c:formatCode>General</c:formatCode>
                <c:ptCount val="54"/>
                <c:pt idx="32">
                  <c:v>-2.9544999999999999</c:v>
                </c:pt>
                <c:pt idx="33">
                  <c:v>-3.0752000000000002</c:v>
                </c:pt>
                <c:pt idx="34">
                  <c:v>-4.8198999999999996</c:v>
                </c:pt>
                <c:pt idx="35">
                  <c:v>-4.8849</c:v>
                </c:pt>
                <c:pt idx="36">
                  <c:v>-4.5880000000000001</c:v>
                </c:pt>
                <c:pt idx="37">
                  <c:v>-5.7122999999999999</c:v>
                </c:pt>
                <c:pt idx="38">
                  <c:v>-3.8262999999999998</c:v>
                </c:pt>
                <c:pt idx="39">
                  <c:v>-2.4595000000000002</c:v>
                </c:pt>
              </c:numCache>
            </c:numRef>
          </c:val>
          <c:smooth val="0"/>
        </c:ser>
        <c:ser>
          <c:idx val="0"/>
          <c:order val="2"/>
          <c:tx>
            <c:strRef>
              <c:f>Worksheet!$B$1</c:f>
              <c:strCache>
                <c:ptCount val="1"/>
                <c:pt idx="0">
                  <c:v>US Budget Deficit % of GDP</c:v>
                </c:pt>
              </c:strCache>
            </c:strRef>
          </c:tx>
          <c:spPr>
            <a:ln w="28575" cap="rnd">
              <a:solidFill>
                <a:schemeClr val="accent1"/>
              </a:solidFill>
              <a:round/>
            </a:ln>
            <a:effectLst/>
          </c:spPr>
          <c:marker>
            <c:symbol val="none"/>
          </c:marker>
          <c:cat>
            <c:numRef>
              <c:f>Worksheet!$A$2:$A$55</c:f>
              <c:numCache>
                <c:formatCode>m/d/yyyy</c:formatCode>
                <c:ptCount val="54"/>
                <c:pt idx="0">
                  <c:v>44196</c:v>
                </c:pt>
                <c:pt idx="1">
                  <c:v>43830</c:v>
                </c:pt>
                <c:pt idx="2">
                  <c:v>43465</c:v>
                </c:pt>
                <c:pt idx="3">
                  <c:v>43100</c:v>
                </c:pt>
                <c:pt idx="4">
                  <c:v>42735</c:v>
                </c:pt>
                <c:pt idx="5">
                  <c:v>42369</c:v>
                </c:pt>
                <c:pt idx="6">
                  <c:v>42004</c:v>
                </c:pt>
                <c:pt idx="7">
                  <c:v>41639</c:v>
                </c:pt>
                <c:pt idx="8">
                  <c:v>41274</c:v>
                </c:pt>
                <c:pt idx="9">
                  <c:v>40908</c:v>
                </c:pt>
                <c:pt idx="10">
                  <c:v>40543</c:v>
                </c:pt>
                <c:pt idx="11">
                  <c:v>40178</c:v>
                </c:pt>
                <c:pt idx="12">
                  <c:v>39813</c:v>
                </c:pt>
                <c:pt idx="13">
                  <c:v>39447</c:v>
                </c:pt>
                <c:pt idx="14">
                  <c:v>39082</c:v>
                </c:pt>
                <c:pt idx="15">
                  <c:v>38717</c:v>
                </c:pt>
                <c:pt idx="16">
                  <c:v>38352</c:v>
                </c:pt>
                <c:pt idx="17">
                  <c:v>37986</c:v>
                </c:pt>
                <c:pt idx="18">
                  <c:v>37621</c:v>
                </c:pt>
                <c:pt idx="19">
                  <c:v>37256</c:v>
                </c:pt>
                <c:pt idx="20">
                  <c:v>36891</c:v>
                </c:pt>
                <c:pt idx="21">
                  <c:v>36525</c:v>
                </c:pt>
                <c:pt idx="22">
                  <c:v>36160</c:v>
                </c:pt>
                <c:pt idx="23">
                  <c:v>35795</c:v>
                </c:pt>
                <c:pt idx="24">
                  <c:v>35430</c:v>
                </c:pt>
                <c:pt idx="25">
                  <c:v>35064</c:v>
                </c:pt>
                <c:pt idx="26">
                  <c:v>34699</c:v>
                </c:pt>
                <c:pt idx="27">
                  <c:v>34334</c:v>
                </c:pt>
                <c:pt idx="28">
                  <c:v>33969</c:v>
                </c:pt>
                <c:pt idx="29">
                  <c:v>33603</c:v>
                </c:pt>
                <c:pt idx="30">
                  <c:v>33238</c:v>
                </c:pt>
                <c:pt idx="31">
                  <c:v>32873</c:v>
                </c:pt>
                <c:pt idx="32">
                  <c:v>32508</c:v>
                </c:pt>
                <c:pt idx="33">
                  <c:v>32142</c:v>
                </c:pt>
                <c:pt idx="34">
                  <c:v>31777</c:v>
                </c:pt>
                <c:pt idx="35">
                  <c:v>31412</c:v>
                </c:pt>
                <c:pt idx="36">
                  <c:v>31047</c:v>
                </c:pt>
                <c:pt idx="37">
                  <c:v>30681</c:v>
                </c:pt>
                <c:pt idx="38">
                  <c:v>30316</c:v>
                </c:pt>
                <c:pt idx="39">
                  <c:v>29951</c:v>
                </c:pt>
                <c:pt idx="40">
                  <c:v>29586</c:v>
                </c:pt>
                <c:pt idx="41">
                  <c:v>29220</c:v>
                </c:pt>
                <c:pt idx="42">
                  <c:v>28855</c:v>
                </c:pt>
                <c:pt idx="43">
                  <c:v>28490</c:v>
                </c:pt>
                <c:pt idx="44">
                  <c:v>28125</c:v>
                </c:pt>
                <c:pt idx="45">
                  <c:v>27759</c:v>
                </c:pt>
                <c:pt idx="46">
                  <c:v>27394</c:v>
                </c:pt>
                <c:pt idx="47">
                  <c:v>27029</c:v>
                </c:pt>
                <c:pt idx="48">
                  <c:v>26664</c:v>
                </c:pt>
                <c:pt idx="49">
                  <c:v>26298</c:v>
                </c:pt>
                <c:pt idx="50">
                  <c:v>25933</c:v>
                </c:pt>
                <c:pt idx="51">
                  <c:v>25568</c:v>
                </c:pt>
                <c:pt idx="52">
                  <c:v>25203</c:v>
                </c:pt>
                <c:pt idx="53">
                  <c:v>24837</c:v>
                </c:pt>
              </c:numCache>
            </c:numRef>
          </c:cat>
          <c:val>
            <c:numRef>
              <c:f>Worksheet!$B$2:$B$55</c:f>
              <c:numCache>
                <c:formatCode>General</c:formatCode>
                <c:ptCount val="54"/>
                <c:pt idx="4">
                  <c:v>-3.2568000000000001</c:v>
                </c:pt>
                <c:pt idx="5">
                  <c:v>-2.4344000000000001</c:v>
                </c:pt>
                <c:pt idx="6">
                  <c:v>-2.7862999999999998</c:v>
                </c:pt>
                <c:pt idx="7">
                  <c:v>-4.0712000000000002</c:v>
                </c:pt>
                <c:pt idx="8">
                  <c:v>-6.7282000000000002</c:v>
                </c:pt>
                <c:pt idx="9">
                  <c:v>-8.3748000000000005</c:v>
                </c:pt>
                <c:pt idx="10">
                  <c:v>-8.6496999999999993</c:v>
                </c:pt>
                <c:pt idx="11">
                  <c:v>-9.7975999999999992</c:v>
                </c:pt>
                <c:pt idx="12">
                  <c:v>-3.1154999999999999</c:v>
                </c:pt>
                <c:pt idx="13">
                  <c:v>-1.1100000000000001</c:v>
                </c:pt>
                <c:pt idx="14">
                  <c:v>-1.7911999999999999</c:v>
                </c:pt>
                <c:pt idx="15">
                  <c:v>-2.4313000000000002</c:v>
                </c:pt>
                <c:pt idx="16">
                  <c:v>-3.3624000000000001</c:v>
                </c:pt>
                <c:pt idx="17">
                  <c:v>-3.2803</c:v>
                </c:pt>
                <c:pt idx="18">
                  <c:v>-1.4371</c:v>
                </c:pt>
                <c:pt idx="19">
                  <c:v>1.2073</c:v>
                </c:pt>
                <c:pt idx="20">
                  <c:v>2.2970000000000002</c:v>
                </c:pt>
                <c:pt idx="21">
                  <c:v>1.2873000000000001</c:v>
                </c:pt>
                <c:pt idx="22">
                  <c:v>0.77249999999999996</c:v>
                </c:pt>
                <c:pt idx="23">
                  <c:v>-0.25519999999999998</c:v>
                </c:pt>
                <c:pt idx="24">
                  <c:v>-1.3265</c:v>
                </c:pt>
                <c:pt idx="25">
                  <c:v>-2.1385000000000001</c:v>
                </c:pt>
                <c:pt idx="26">
                  <c:v>-2.7789000000000001</c:v>
                </c:pt>
                <c:pt idx="27">
                  <c:v>-3.7073</c:v>
                </c:pt>
                <c:pt idx="28">
                  <c:v>-4.4409000000000001</c:v>
                </c:pt>
                <c:pt idx="29">
                  <c:v>-4.3628</c:v>
                </c:pt>
                <c:pt idx="30">
                  <c:v>-3.6991000000000001</c:v>
                </c:pt>
                <c:pt idx="31">
                  <c:v>-2.6951000000000001</c:v>
                </c:pt>
                <c:pt idx="32">
                  <c:v>-2.9544999999999999</c:v>
                </c:pt>
                <c:pt idx="33">
                  <c:v>-3.0752000000000002</c:v>
                </c:pt>
                <c:pt idx="34">
                  <c:v>-4.8198999999999996</c:v>
                </c:pt>
                <c:pt idx="35">
                  <c:v>-4.8849</c:v>
                </c:pt>
                <c:pt idx="36">
                  <c:v>-4.5880000000000001</c:v>
                </c:pt>
                <c:pt idx="37">
                  <c:v>-5.7122999999999999</c:v>
                </c:pt>
                <c:pt idx="38">
                  <c:v>-3.8262999999999998</c:v>
                </c:pt>
                <c:pt idx="39">
                  <c:v>-2.4595000000000002</c:v>
                </c:pt>
                <c:pt idx="40">
                  <c:v>-2.5794000000000001</c:v>
                </c:pt>
                <c:pt idx="41">
                  <c:v>-1.5474000000000001</c:v>
                </c:pt>
                <c:pt idx="42">
                  <c:v>-2.5114999999999998</c:v>
                </c:pt>
                <c:pt idx="43">
                  <c:v>-2.5723000000000003</c:v>
                </c:pt>
                <c:pt idx="44">
                  <c:v>-3.9268999999999998</c:v>
                </c:pt>
                <c:pt idx="45">
                  <c:v>-3.1524999999999999</c:v>
                </c:pt>
                <c:pt idx="46">
                  <c:v>-0.39610000000000001</c:v>
                </c:pt>
                <c:pt idx="47">
                  <c:v>-1.0436000000000001</c:v>
                </c:pt>
                <c:pt idx="48">
                  <c:v>-1.8226</c:v>
                </c:pt>
                <c:pt idx="49">
                  <c:v>-1.9723000000000002</c:v>
                </c:pt>
                <c:pt idx="50">
                  <c:v>-0.26419999999999999</c:v>
                </c:pt>
                <c:pt idx="51">
                  <c:v>0.31790000000000002</c:v>
                </c:pt>
                <c:pt idx="52">
                  <c:v>-2.6696</c:v>
                </c:pt>
                <c:pt idx="53">
                  <c:v>-1.0029999999999999</c:v>
                </c:pt>
              </c:numCache>
            </c:numRef>
          </c:val>
          <c:smooth val="0"/>
        </c:ser>
        <c:ser>
          <c:idx val="1"/>
          <c:order val="3"/>
          <c:tx>
            <c:strRef>
              <c:f>Worksheet!$C$1</c:f>
              <c:strCache>
                <c:ptCount val="1"/>
                <c:pt idx="0">
                  <c:v>US Curr Account % of GDP</c:v>
                </c:pt>
              </c:strCache>
            </c:strRef>
          </c:tx>
          <c:spPr>
            <a:ln w="28575" cap="rnd">
              <a:solidFill>
                <a:schemeClr val="accent2"/>
              </a:solidFill>
              <a:round/>
            </a:ln>
            <a:effectLst/>
          </c:spPr>
          <c:marker>
            <c:symbol val="none"/>
          </c:marker>
          <c:cat>
            <c:numRef>
              <c:f>Worksheet!$A$2:$A$55</c:f>
              <c:numCache>
                <c:formatCode>m/d/yyyy</c:formatCode>
                <c:ptCount val="54"/>
                <c:pt idx="0">
                  <c:v>44196</c:v>
                </c:pt>
                <c:pt idx="1">
                  <c:v>43830</c:v>
                </c:pt>
                <c:pt idx="2">
                  <c:v>43465</c:v>
                </c:pt>
                <c:pt idx="3">
                  <c:v>43100</c:v>
                </c:pt>
                <c:pt idx="4">
                  <c:v>42735</c:v>
                </c:pt>
                <c:pt idx="5">
                  <c:v>42369</c:v>
                </c:pt>
                <c:pt idx="6">
                  <c:v>42004</c:v>
                </c:pt>
                <c:pt idx="7">
                  <c:v>41639</c:v>
                </c:pt>
                <c:pt idx="8">
                  <c:v>41274</c:v>
                </c:pt>
                <c:pt idx="9">
                  <c:v>40908</c:v>
                </c:pt>
                <c:pt idx="10">
                  <c:v>40543</c:v>
                </c:pt>
                <c:pt idx="11">
                  <c:v>40178</c:v>
                </c:pt>
                <c:pt idx="12">
                  <c:v>39813</c:v>
                </c:pt>
                <c:pt idx="13">
                  <c:v>39447</c:v>
                </c:pt>
                <c:pt idx="14">
                  <c:v>39082</c:v>
                </c:pt>
                <c:pt idx="15">
                  <c:v>38717</c:v>
                </c:pt>
                <c:pt idx="16">
                  <c:v>38352</c:v>
                </c:pt>
                <c:pt idx="17">
                  <c:v>37986</c:v>
                </c:pt>
                <c:pt idx="18">
                  <c:v>37621</c:v>
                </c:pt>
                <c:pt idx="19">
                  <c:v>37256</c:v>
                </c:pt>
                <c:pt idx="20">
                  <c:v>36891</c:v>
                </c:pt>
                <c:pt idx="21">
                  <c:v>36525</c:v>
                </c:pt>
                <c:pt idx="22">
                  <c:v>36160</c:v>
                </c:pt>
                <c:pt idx="23">
                  <c:v>35795</c:v>
                </c:pt>
                <c:pt idx="24">
                  <c:v>35430</c:v>
                </c:pt>
                <c:pt idx="25">
                  <c:v>35064</c:v>
                </c:pt>
                <c:pt idx="26">
                  <c:v>34699</c:v>
                </c:pt>
                <c:pt idx="27">
                  <c:v>34334</c:v>
                </c:pt>
                <c:pt idx="28">
                  <c:v>33969</c:v>
                </c:pt>
                <c:pt idx="29">
                  <c:v>33603</c:v>
                </c:pt>
                <c:pt idx="30">
                  <c:v>33238</c:v>
                </c:pt>
                <c:pt idx="31">
                  <c:v>32873</c:v>
                </c:pt>
                <c:pt idx="32">
                  <c:v>32508</c:v>
                </c:pt>
                <c:pt idx="33">
                  <c:v>32142</c:v>
                </c:pt>
                <c:pt idx="34">
                  <c:v>31777</c:v>
                </c:pt>
                <c:pt idx="35">
                  <c:v>31412</c:v>
                </c:pt>
                <c:pt idx="36">
                  <c:v>31047</c:v>
                </c:pt>
                <c:pt idx="37">
                  <c:v>30681</c:v>
                </c:pt>
                <c:pt idx="38">
                  <c:v>30316</c:v>
                </c:pt>
                <c:pt idx="39">
                  <c:v>29951</c:v>
                </c:pt>
                <c:pt idx="40">
                  <c:v>29586</c:v>
                </c:pt>
                <c:pt idx="41">
                  <c:v>29220</c:v>
                </c:pt>
                <c:pt idx="42">
                  <c:v>28855</c:v>
                </c:pt>
                <c:pt idx="43">
                  <c:v>28490</c:v>
                </c:pt>
                <c:pt idx="44">
                  <c:v>28125</c:v>
                </c:pt>
                <c:pt idx="45">
                  <c:v>27759</c:v>
                </c:pt>
                <c:pt idx="46">
                  <c:v>27394</c:v>
                </c:pt>
                <c:pt idx="47">
                  <c:v>27029</c:v>
                </c:pt>
                <c:pt idx="48">
                  <c:v>26664</c:v>
                </c:pt>
                <c:pt idx="49">
                  <c:v>26298</c:v>
                </c:pt>
                <c:pt idx="50">
                  <c:v>25933</c:v>
                </c:pt>
                <c:pt idx="51">
                  <c:v>25568</c:v>
                </c:pt>
                <c:pt idx="52">
                  <c:v>25203</c:v>
                </c:pt>
                <c:pt idx="53">
                  <c:v>24837</c:v>
                </c:pt>
              </c:numCache>
            </c:numRef>
          </c:cat>
          <c:val>
            <c:numRef>
              <c:f>Worksheet!$C$2:$C$55</c:f>
              <c:numCache>
                <c:formatCode>General</c:formatCode>
                <c:ptCount val="54"/>
                <c:pt idx="5">
                  <c:v>-2.54</c:v>
                </c:pt>
                <c:pt idx="6">
                  <c:v>-2.2200000000000002</c:v>
                </c:pt>
                <c:pt idx="7">
                  <c:v>-2.16</c:v>
                </c:pt>
                <c:pt idx="8">
                  <c:v>-2.74</c:v>
                </c:pt>
                <c:pt idx="9">
                  <c:v>-2.92</c:v>
                </c:pt>
                <c:pt idx="10">
                  <c:v>-2.9</c:v>
                </c:pt>
                <c:pt idx="11">
                  <c:v>-2.64</c:v>
                </c:pt>
                <c:pt idx="12">
                  <c:v>-4.75</c:v>
                </c:pt>
                <c:pt idx="13">
                  <c:v>-4.8899999999999997</c:v>
                </c:pt>
                <c:pt idx="14">
                  <c:v>-5.74</c:v>
                </c:pt>
                <c:pt idx="15">
                  <c:v>-5.57</c:v>
                </c:pt>
                <c:pt idx="16">
                  <c:v>-5.05</c:v>
                </c:pt>
                <c:pt idx="17">
                  <c:v>-4.41</c:v>
                </c:pt>
                <c:pt idx="18">
                  <c:v>-4.13</c:v>
                </c:pt>
                <c:pt idx="19">
                  <c:v>-3.69</c:v>
                </c:pt>
                <c:pt idx="20">
                  <c:v>-3.92</c:v>
                </c:pt>
                <c:pt idx="21">
                  <c:v>-2.98</c:v>
                </c:pt>
                <c:pt idx="22">
                  <c:v>-2.34</c:v>
                </c:pt>
                <c:pt idx="23">
                  <c:v>-1.6</c:v>
                </c:pt>
                <c:pt idx="24">
                  <c:v>-1.51</c:v>
                </c:pt>
                <c:pt idx="25">
                  <c:v>-1.46</c:v>
                </c:pt>
                <c:pt idx="26">
                  <c:v>-1.63</c:v>
                </c:pt>
                <c:pt idx="27">
                  <c:v>-1.21</c:v>
                </c:pt>
                <c:pt idx="28">
                  <c:v>-0.77</c:v>
                </c:pt>
                <c:pt idx="29">
                  <c:v>0.05</c:v>
                </c:pt>
                <c:pt idx="30">
                  <c:v>-1.31</c:v>
                </c:pt>
                <c:pt idx="31">
                  <c:v>-1.73</c:v>
                </c:pt>
                <c:pt idx="32">
                  <c:v>-2.2400000000000002</c:v>
                </c:pt>
                <c:pt idx="33">
                  <c:v>-3.2</c:v>
                </c:pt>
                <c:pt idx="34">
                  <c:v>-3.15</c:v>
                </c:pt>
                <c:pt idx="35">
                  <c:v>-2.65</c:v>
                </c:pt>
                <c:pt idx="36">
                  <c:v>-2.27</c:v>
                </c:pt>
                <c:pt idx="37">
                  <c:v>-1.02</c:v>
                </c:pt>
                <c:pt idx="38">
                  <c:v>-0.16</c:v>
                </c:pt>
                <c:pt idx="39">
                  <c:v>0.15</c:v>
                </c:pt>
                <c:pt idx="40">
                  <c:v>0.08</c:v>
                </c:pt>
                <c:pt idx="41">
                  <c:v>-0.01</c:v>
                </c:pt>
                <c:pt idx="42">
                  <c:v>-0.61</c:v>
                </c:pt>
                <c:pt idx="43">
                  <c:v>-0.66</c:v>
                </c:pt>
                <c:pt idx="44">
                  <c:v>0.22</c:v>
                </c:pt>
                <c:pt idx="45">
                  <c:v>1.03</c:v>
                </c:pt>
                <c:pt idx="46">
                  <c:v>0.12</c:v>
                </c:pt>
                <c:pt idx="47">
                  <c:v>0.48</c:v>
                </c:pt>
                <c:pt idx="48">
                  <c:v>-0.43</c:v>
                </c:pt>
                <c:pt idx="49">
                  <c:v>-0.12</c:v>
                </c:pt>
                <c:pt idx="50">
                  <c:v>0.21</c:v>
                </c:pt>
                <c:pt idx="51">
                  <c:v>0.04</c:v>
                </c:pt>
                <c:pt idx="52">
                  <c:v>0.06</c:v>
                </c:pt>
                <c:pt idx="53">
                  <c:v>0.28999999999999998</c:v>
                </c:pt>
              </c:numCache>
            </c:numRef>
          </c:val>
          <c:smooth val="0"/>
        </c:ser>
        <c:ser>
          <c:idx val="3"/>
          <c:order val="4"/>
          <c:tx>
            <c:strRef>
              <c:f>Worksheet!$D$1</c:f>
              <c:strCache>
                <c:ptCount val="1"/>
                <c:pt idx="0">
                  <c:v>US Budget Deficit % of GDP Estimate</c:v>
                </c:pt>
              </c:strCache>
            </c:strRef>
          </c:tx>
          <c:spPr>
            <a:ln w="28575" cap="rnd">
              <a:solidFill>
                <a:schemeClr val="accent1"/>
              </a:solidFill>
              <a:prstDash val="sysDash"/>
              <a:round/>
            </a:ln>
            <a:effectLst/>
          </c:spPr>
          <c:marker>
            <c:symbol val="none"/>
          </c:marker>
          <c:cat>
            <c:numRef>
              <c:f>Worksheet!$A$2:$A$55</c:f>
              <c:numCache>
                <c:formatCode>m/d/yyyy</c:formatCode>
                <c:ptCount val="54"/>
                <c:pt idx="0">
                  <c:v>44196</c:v>
                </c:pt>
                <c:pt idx="1">
                  <c:v>43830</c:v>
                </c:pt>
                <c:pt idx="2">
                  <c:v>43465</c:v>
                </c:pt>
                <c:pt idx="3">
                  <c:v>43100</c:v>
                </c:pt>
                <c:pt idx="4">
                  <c:v>42735</c:v>
                </c:pt>
                <c:pt idx="5">
                  <c:v>42369</c:v>
                </c:pt>
                <c:pt idx="6">
                  <c:v>42004</c:v>
                </c:pt>
                <c:pt idx="7">
                  <c:v>41639</c:v>
                </c:pt>
                <c:pt idx="8">
                  <c:v>41274</c:v>
                </c:pt>
                <c:pt idx="9">
                  <c:v>40908</c:v>
                </c:pt>
                <c:pt idx="10">
                  <c:v>40543</c:v>
                </c:pt>
                <c:pt idx="11">
                  <c:v>40178</c:v>
                </c:pt>
                <c:pt idx="12">
                  <c:v>39813</c:v>
                </c:pt>
                <c:pt idx="13">
                  <c:v>39447</c:v>
                </c:pt>
                <c:pt idx="14">
                  <c:v>39082</c:v>
                </c:pt>
                <c:pt idx="15">
                  <c:v>38717</c:v>
                </c:pt>
                <c:pt idx="16">
                  <c:v>38352</c:v>
                </c:pt>
                <c:pt idx="17">
                  <c:v>37986</c:v>
                </c:pt>
                <c:pt idx="18">
                  <c:v>37621</c:v>
                </c:pt>
                <c:pt idx="19">
                  <c:v>37256</c:v>
                </c:pt>
                <c:pt idx="20">
                  <c:v>36891</c:v>
                </c:pt>
                <c:pt idx="21">
                  <c:v>36525</c:v>
                </c:pt>
                <c:pt idx="22">
                  <c:v>36160</c:v>
                </c:pt>
                <c:pt idx="23">
                  <c:v>35795</c:v>
                </c:pt>
                <c:pt idx="24">
                  <c:v>35430</c:v>
                </c:pt>
                <c:pt idx="25">
                  <c:v>35064</c:v>
                </c:pt>
                <c:pt idx="26">
                  <c:v>34699</c:v>
                </c:pt>
                <c:pt idx="27">
                  <c:v>34334</c:v>
                </c:pt>
                <c:pt idx="28">
                  <c:v>33969</c:v>
                </c:pt>
                <c:pt idx="29">
                  <c:v>33603</c:v>
                </c:pt>
                <c:pt idx="30">
                  <c:v>33238</c:v>
                </c:pt>
                <c:pt idx="31">
                  <c:v>32873</c:v>
                </c:pt>
                <c:pt idx="32">
                  <c:v>32508</c:v>
                </c:pt>
                <c:pt idx="33">
                  <c:v>32142</c:v>
                </c:pt>
                <c:pt idx="34">
                  <c:v>31777</c:v>
                </c:pt>
                <c:pt idx="35">
                  <c:v>31412</c:v>
                </c:pt>
                <c:pt idx="36">
                  <c:v>31047</c:v>
                </c:pt>
                <c:pt idx="37">
                  <c:v>30681</c:v>
                </c:pt>
                <c:pt idx="38">
                  <c:v>30316</c:v>
                </c:pt>
                <c:pt idx="39">
                  <c:v>29951</c:v>
                </c:pt>
                <c:pt idx="40">
                  <c:v>29586</c:v>
                </c:pt>
                <c:pt idx="41">
                  <c:v>29220</c:v>
                </c:pt>
                <c:pt idx="42">
                  <c:v>28855</c:v>
                </c:pt>
                <c:pt idx="43">
                  <c:v>28490</c:v>
                </c:pt>
                <c:pt idx="44">
                  <c:v>28125</c:v>
                </c:pt>
                <c:pt idx="45">
                  <c:v>27759</c:v>
                </c:pt>
                <c:pt idx="46">
                  <c:v>27394</c:v>
                </c:pt>
                <c:pt idx="47">
                  <c:v>27029</c:v>
                </c:pt>
                <c:pt idx="48">
                  <c:v>26664</c:v>
                </c:pt>
                <c:pt idx="49">
                  <c:v>26298</c:v>
                </c:pt>
                <c:pt idx="50">
                  <c:v>25933</c:v>
                </c:pt>
                <c:pt idx="51">
                  <c:v>25568</c:v>
                </c:pt>
                <c:pt idx="52">
                  <c:v>25203</c:v>
                </c:pt>
                <c:pt idx="53">
                  <c:v>24837</c:v>
                </c:pt>
              </c:numCache>
            </c:numRef>
          </c:cat>
          <c:val>
            <c:numRef>
              <c:f>Worksheet!$D$2:$D$55</c:f>
              <c:numCache>
                <c:formatCode>General</c:formatCode>
                <c:ptCount val="54"/>
                <c:pt idx="4">
                  <c:v>-3.2568000000000001</c:v>
                </c:pt>
              </c:numCache>
            </c:numRef>
          </c:val>
          <c:smooth val="0"/>
        </c:ser>
        <c:ser>
          <c:idx val="4"/>
          <c:order val="5"/>
          <c:tx>
            <c:strRef>
              <c:f>Worksheet!$E$1</c:f>
              <c:strCache>
                <c:ptCount val="1"/>
                <c:pt idx="0">
                  <c:v>US Curr Account % of GDP Estimate</c:v>
                </c:pt>
              </c:strCache>
            </c:strRef>
          </c:tx>
          <c:spPr>
            <a:ln w="28575" cap="rnd">
              <a:solidFill>
                <a:schemeClr val="accent2"/>
              </a:solidFill>
              <a:prstDash val="sysDash"/>
              <a:round/>
            </a:ln>
            <a:effectLst/>
          </c:spPr>
          <c:marker>
            <c:symbol val="none"/>
          </c:marker>
          <c:cat>
            <c:numRef>
              <c:f>Worksheet!$A$2:$A$55</c:f>
              <c:numCache>
                <c:formatCode>m/d/yyyy</c:formatCode>
                <c:ptCount val="54"/>
                <c:pt idx="0">
                  <c:v>44196</c:v>
                </c:pt>
                <c:pt idx="1">
                  <c:v>43830</c:v>
                </c:pt>
                <c:pt idx="2">
                  <c:v>43465</c:v>
                </c:pt>
                <c:pt idx="3">
                  <c:v>43100</c:v>
                </c:pt>
                <c:pt idx="4">
                  <c:v>42735</c:v>
                </c:pt>
                <c:pt idx="5">
                  <c:v>42369</c:v>
                </c:pt>
                <c:pt idx="6">
                  <c:v>42004</c:v>
                </c:pt>
                <c:pt idx="7">
                  <c:v>41639</c:v>
                </c:pt>
                <c:pt idx="8">
                  <c:v>41274</c:v>
                </c:pt>
                <c:pt idx="9">
                  <c:v>40908</c:v>
                </c:pt>
                <c:pt idx="10">
                  <c:v>40543</c:v>
                </c:pt>
                <c:pt idx="11">
                  <c:v>40178</c:v>
                </c:pt>
                <c:pt idx="12">
                  <c:v>39813</c:v>
                </c:pt>
                <c:pt idx="13">
                  <c:v>39447</c:v>
                </c:pt>
                <c:pt idx="14">
                  <c:v>39082</c:v>
                </c:pt>
                <c:pt idx="15">
                  <c:v>38717</c:v>
                </c:pt>
                <c:pt idx="16">
                  <c:v>38352</c:v>
                </c:pt>
                <c:pt idx="17">
                  <c:v>37986</c:v>
                </c:pt>
                <c:pt idx="18">
                  <c:v>37621</c:v>
                </c:pt>
                <c:pt idx="19">
                  <c:v>37256</c:v>
                </c:pt>
                <c:pt idx="20">
                  <c:v>36891</c:v>
                </c:pt>
                <c:pt idx="21">
                  <c:v>36525</c:v>
                </c:pt>
                <c:pt idx="22">
                  <c:v>36160</c:v>
                </c:pt>
                <c:pt idx="23">
                  <c:v>35795</c:v>
                </c:pt>
                <c:pt idx="24">
                  <c:v>35430</c:v>
                </c:pt>
                <c:pt idx="25">
                  <c:v>35064</c:v>
                </c:pt>
                <c:pt idx="26">
                  <c:v>34699</c:v>
                </c:pt>
                <c:pt idx="27">
                  <c:v>34334</c:v>
                </c:pt>
                <c:pt idx="28">
                  <c:v>33969</c:v>
                </c:pt>
                <c:pt idx="29">
                  <c:v>33603</c:v>
                </c:pt>
                <c:pt idx="30">
                  <c:v>33238</c:v>
                </c:pt>
                <c:pt idx="31">
                  <c:v>32873</c:v>
                </c:pt>
                <c:pt idx="32">
                  <c:v>32508</c:v>
                </c:pt>
                <c:pt idx="33">
                  <c:v>32142</c:v>
                </c:pt>
                <c:pt idx="34">
                  <c:v>31777</c:v>
                </c:pt>
                <c:pt idx="35">
                  <c:v>31412</c:v>
                </c:pt>
                <c:pt idx="36">
                  <c:v>31047</c:v>
                </c:pt>
                <c:pt idx="37">
                  <c:v>30681</c:v>
                </c:pt>
                <c:pt idx="38">
                  <c:v>30316</c:v>
                </c:pt>
                <c:pt idx="39">
                  <c:v>29951</c:v>
                </c:pt>
                <c:pt idx="40">
                  <c:v>29586</c:v>
                </c:pt>
                <c:pt idx="41">
                  <c:v>29220</c:v>
                </c:pt>
                <c:pt idx="42">
                  <c:v>28855</c:v>
                </c:pt>
                <c:pt idx="43">
                  <c:v>28490</c:v>
                </c:pt>
                <c:pt idx="44">
                  <c:v>28125</c:v>
                </c:pt>
                <c:pt idx="45">
                  <c:v>27759</c:v>
                </c:pt>
                <c:pt idx="46">
                  <c:v>27394</c:v>
                </c:pt>
                <c:pt idx="47">
                  <c:v>27029</c:v>
                </c:pt>
                <c:pt idx="48">
                  <c:v>26664</c:v>
                </c:pt>
                <c:pt idx="49">
                  <c:v>26298</c:v>
                </c:pt>
                <c:pt idx="50">
                  <c:v>25933</c:v>
                </c:pt>
                <c:pt idx="51">
                  <c:v>25568</c:v>
                </c:pt>
                <c:pt idx="52">
                  <c:v>25203</c:v>
                </c:pt>
                <c:pt idx="53">
                  <c:v>24837</c:v>
                </c:pt>
              </c:numCache>
            </c:numRef>
          </c:cat>
          <c:val>
            <c:numRef>
              <c:f>Worksheet!$E$2:$E$55</c:f>
              <c:numCache>
                <c:formatCode>General</c:formatCode>
                <c:ptCount val="54"/>
              </c:numCache>
            </c:numRef>
          </c:val>
          <c:smooth val="0"/>
        </c:ser>
        <c:dLbls>
          <c:showLegendKey val="0"/>
          <c:showVal val="0"/>
          <c:showCatName val="0"/>
          <c:showSerName val="0"/>
          <c:showPercent val="0"/>
          <c:showBubbleSize val="0"/>
        </c:dLbls>
        <c:smooth val="0"/>
        <c:axId val="257534016"/>
        <c:axId val="257534576"/>
      </c:lineChart>
      <c:dateAx>
        <c:axId val="257534016"/>
        <c:scaling>
          <c:orientation val="minMax"/>
        </c:scaling>
        <c:delete val="0"/>
        <c:axPos val="b"/>
        <c:numFmt formatCode="yy" sourceLinked="0"/>
        <c:majorTickMark val="none"/>
        <c:minorTickMark val="none"/>
        <c:tickLblPos val="low"/>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534576"/>
        <c:crosses val="autoZero"/>
        <c:auto val="1"/>
        <c:lblOffset val="100"/>
        <c:baseTimeUnit val="years"/>
      </c:dateAx>
      <c:valAx>
        <c:axId val="25753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534016"/>
        <c:crosses val="autoZero"/>
        <c:crossBetween val="between"/>
      </c:valAx>
      <c:spPr>
        <a:noFill/>
        <a:ln>
          <a:noFill/>
        </a:ln>
        <a:effectLst/>
      </c:spPr>
    </c:plotArea>
    <c:legend>
      <c:legendPos val="b"/>
      <c:legendEntry>
        <c:idx val="0"/>
        <c:delete val="1"/>
      </c:legendEntry>
      <c:legendEntry>
        <c:idx val="1"/>
        <c:delete val="1"/>
      </c:legendEntry>
      <c:legendEntry>
        <c:idx val="4"/>
        <c:delete val="1"/>
      </c:legendEntry>
      <c:legendEntry>
        <c:idx val="5"/>
        <c:delete val="1"/>
      </c:legendEntry>
      <c:layout>
        <c:manualLayout>
          <c:xMode val="edge"/>
          <c:yMode val="edge"/>
          <c:x val="4.4567475940507438E-2"/>
          <c:y val="0.86209243116559042"/>
          <c:w val="0.93498479135205337"/>
          <c:h val="8.498085960598798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78335740161"/>
          <c:y val="0.11400105928462978"/>
          <c:w val="0.867981321611907"/>
          <c:h val="0.78067836587691108"/>
        </c:manualLayout>
      </c:layout>
      <c:lineChart>
        <c:grouping val="standard"/>
        <c:varyColors val="0"/>
        <c:ser>
          <c:idx val="2"/>
          <c:order val="0"/>
          <c:tx>
            <c:strRef>
              <c:f>Sheet1!$D$2</c:f>
              <c:strCache>
                <c:ptCount val="1"/>
                <c:pt idx="0">
                  <c:v>Budget Deficit/Surplus</c:v>
                </c:pt>
              </c:strCache>
            </c:strRef>
          </c:tx>
          <c:spPr>
            <a:ln w="28575" cap="rnd">
              <a:solidFill>
                <a:schemeClr val="accent3"/>
              </a:solidFill>
              <a:round/>
            </a:ln>
            <a:effectLst/>
          </c:spPr>
          <c:marker>
            <c:symbol val="none"/>
          </c:marker>
          <c:cat>
            <c:strRef>
              <c:f>Sheet1!$A$3:$A$39</c:f>
              <c:strCach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strCache>
            </c:strRef>
          </c:cat>
          <c:val>
            <c:numRef>
              <c:f>Sheet1!$D$3:$D$39</c:f>
              <c:numCache>
                <c:formatCode>#,##0_);\(#,##0\)</c:formatCode>
                <c:ptCount val="37"/>
                <c:pt idx="0">
                  <c:v>-73830</c:v>
                </c:pt>
                <c:pt idx="1">
                  <c:v>-152798</c:v>
                </c:pt>
                <c:pt idx="2">
                  <c:v>-280775</c:v>
                </c:pt>
                <c:pt idx="3">
                  <c:v>-488577</c:v>
                </c:pt>
                <c:pt idx="4">
                  <c:v>-673944</c:v>
                </c:pt>
                <c:pt idx="5">
                  <c:v>-886252</c:v>
                </c:pt>
                <c:pt idx="6">
                  <c:v>-1107479</c:v>
                </c:pt>
                <c:pt idx="7">
                  <c:v>-1257209</c:v>
                </c:pt>
                <c:pt idx="8">
                  <c:v>-1412387</c:v>
                </c:pt>
                <c:pt idx="9">
                  <c:v>-1565026</c:v>
                </c:pt>
                <c:pt idx="10">
                  <c:v>-1786062</c:v>
                </c:pt>
                <c:pt idx="11">
                  <c:v>-2055300</c:v>
                </c:pt>
                <c:pt idx="12">
                  <c:v>-2345621</c:v>
                </c:pt>
                <c:pt idx="13">
                  <c:v>-2600672</c:v>
                </c:pt>
                <c:pt idx="14">
                  <c:v>-2803858</c:v>
                </c:pt>
                <c:pt idx="15">
                  <c:v>-2967810</c:v>
                </c:pt>
                <c:pt idx="16">
                  <c:v>-3075241</c:v>
                </c:pt>
                <c:pt idx="17">
                  <c:v>-3097125</c:v>
                </c:pt>
                <c:pt idx="18">
                  <c:v>-3027855</c:v>
                </c:pt>
                <c:pt idx="19">
                  <c:v>-2902245</c:v>
                </c:pt>
                <c:pt idx="20">
                  <c:v>-2666004</c:v>
                </c:pt>
                <c:pt idx="21">
                  <c:v>-2537768</c:v>
                </c:pt>
                <c:pt idx="22">
                  <c:v>-2695526</c:v>
                </c:pt>
                <c:pt idx="23">
                  <c:v>-3073111</c:v>
                </c:pt>
                <c:pt idx="24">
                  <c:v>-3485838</c:v>
                </c:pt>
                <c:pt idx="25">
                  <c:v>-3804184</c:v>
                </c:pt>
                <c:pt idx="26">
                  <c:v>-4052365</c:v>
                </c:pt>
                <c:pt idx="27">
                  <c:v>-4213066</c:v>
                </c:pt>
                <c:pt idx="28">
                  <c:v>-4671619</c:v>
                </c:pt>
                <c:pt idx="29">
                  <c:v>-6084307</c:v>
                </c:pt>
                <c:pt idx="30">
                  <c:v>-7378680</c:v>
                </c:pt>
                <c:pt idx="31">
                  <c:v>-8678279</c:v>
                </c:pt>
                <c:pt idx="32">
                  <c:v>-9765234</c:v>
                </c:pt>
                <c:pt idx="33">
                  <c:v>-10444776</c:v>
                </c:pt>
                <c:pt idx="34">
                  <c:v>-10929376</c:v>
                </c:pt>
                <c:pt idx="35">
                  <c:v>-11367872</c:v>
                </c:pt>
                <c:pt idx="36">
                  <c:v>-11952523</c:v>
                </c:pt>
              </c:numCache>
            </c:numRef>
          </c:val>
          <c:smooth val="0"/>
          <c:extLst xmlns:c16r2="http://schemas.microsoft.com/office/drawing/2015/06/chart">
            <c:ext xmlns:c16="http://schemas.microsoft.com/office/drawing/2014/chart" uri="{C3380CC4-5D6E-409C-BE32-E72D297353CC}">
              <c16:uniqueId val="{00000002-28BE-4904-A73B-170DF78F489C}"/>
            </c:ext>
          </c:extLst>
        </c:ser>
        <c:ser>
          <c:idx val="3"/>
          <c:order val="1"/>
          <c:tx>
            <c:strRef>
              <c:f>Sheet1!$E$2</c:f>
              <c:strCache>
                <c:ptCount val="1"/>
                <c:pt idx="0">
                  <c:v>Current Account</c:v>
                </c:pt>
              </c:strCache>
            </c:strRef>
          </c:tx>
          <c:spPr>
            <a:ln w="28575" cap="rnd">
              <a:solidFill>
                <a:schemeClr val="accent4"/>
              </a:solidFill>
              <a:round/>
            </a:ln>
            <a:effectLst/>
          </c:spPr>
          <c:marker>
            <c:symbol val="none"/>
          </c:marker>
          <c:cat>
            <c:strRef>
              <c:f>Sheet1!$A$3:$A$39</c:f>
              <c:strCach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strCache>
            </c:strRef>
          </c:cat>
          <c:val>
            <c:numRef>
              <c:f>Sheet1!$E$3:$E$39</c:f>
              <c:numCache>
                <c:formatCode>#,##0_);\(#,##0\)</c:formatCode>
                <c:ptCount val="37"/>
                <c:pt idx="0">
                  <c:v>2316</c:v>
                </c:pt>
                <c:pt idx="1">
                  <c:v>7347</c:v>
                </c:pt>
                <c:pt idx="2">
                  <c:v>1814</c:v>
                </c:pt>
                <c:pt idx="3">
                  <c:v>-36881</c:v>
                </c:pt>
                <c:pt idx="4">
                  <c:v>-131223</c:v>
                </c:pt>
                <c:pt idx="5">
                  <c:v>-249382</c:v>
                </c:pt>
                <c:pt idx="6">
                  <c:v>-396558</c:v>
                </c:pt>
                <c:pt idx="7">
                  <c:v>-557219</c:v>
                </c:pt>
                <c:pt idx="8">
                  <c:v>-678378</c:v>
                </c:pt>
                <c:pt idx="9">
                  <c:v>-777863</c:v>
                </c:pt>
                <c:pt idx="10">
                  <c:v>-856828</c:v>
                </c:pt>
                <c:pt idx="11">
                  <c:v>-853933</c:v>
                </c:pt>
                <c:pt idx="12">
                  <c:v>-905547</c:v>
                </c:pt>
                <c:pt idx="13">
                  <c:v>-990363</c:v>
                </c:pt>
                <c:pt idx="14">
                  <c:v>-1111975</c:v>
                </c:pt>
                <c:pt idx="15">
                  <c:v>-1225546</c:v>
                </c:pt>
                <c:pt idx="16">
                  <c:v>-1350319</c:v>
                </c:pt>
                <c:pt idx="17">
                  <c:v>-1491039</c:v>
                </c:pt>
                <c:pt idx="18">
                  <c:v>-1706105</c:v>
                </c:pt>
                <c:pt idx="19">
                  <c:v>-1994466</c:v>
                </c:pt>
                <c:pt idx="20">
                  <c:v>-2397917</c:v>
                </c:pt>
                <c:pt idx="21">
                  <c:v>-2787603</c:v>
                </c:pt>
                <c:pt idx="22">
                  <c:v>-3238397</c:v>
                </c:pt>
                <c:pt idx="23">
                  <c:v>-3757148</c:v>
                </c:pt>
                <c:pt idx="24">
                  <c:v>-4388741</c:v>
                </c:pt>
                <c:pt idx="25">
                  <c:v>-5133974</c:v>
                </c:pt>
                <c:pt idx="26">
                  <c:v>-5939937</c:v>
                </c:pt>
                <c:pt idx="27">
                  <c:v>-6650973</c:v>
                </c:pt>
                <c:pt idx="28">
                  <c:v>-7332363</c:v>
                </c:pt>
                <c:pt idx="29">
                  <c:v>-7704885</c:v>
                </c:pt>
                <c:pt idx="30">
                  <c:v>-8135583</c:v>
                </c:pt>
                <c:pt idx="31">
                  <c:v>-8580173</c:v>
                </c:pt>
                <c:pt idx="32">
                  <c:v>-9006371</c:v>
                </c:pt>
                <c:pt idx="33">
                  <c:v>-9355914</c:v>
                </c:pt>
                <c:pt idx="34">
                  <c:v>-9729714</c:v>
                </c:pt>
                <c:pt idx="35">
                  <c:v>-10164311</c:v>
                </c:pt>
                <c:pt idx="36">
                  <c:v>-10615997</c:v>
                </c:pt>
              </c:numCache>
            </c:numRef>
          </c:val>
          <c:smooth val="0"/>
          <c:extLst xmlns:c16r2="http://schemas.microsoft.com/office/drawing/2015/06/chart">
            <c:ext xmlns:c16="http://schemas.microsoft.com/office/drawing/2014/chart" uri="{C3380CC4-5D6E-409C-BE32-E72D297353CC}">
              <c16:uniqueId val="{00000003-28BE-4904-A73B-170DF78F489C}"/>
            </c:ext>
          </c:extLst>
        </c:ser>
        <c:dLbls>
          <c:showLegendKey val="0"/>
          <c:showVal val="0"/>
          <c:showCatName val="0"/>
          <c:showSerName val="0"/>
          <c:showPercent val="0"/>
          <c:showBubbleSize val="0"/>
        </c:dLbls>
        <c:smooth val="0"/>
        <c:axId val="257537376"/>
        <c:axId val="257537936"/>
      </c:lineChart>
      <c:catAx>
        <c:axId val="257537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57537936"/>
        <c:crosses val="autoZero"/>
        <c:auto val="1"/>
        <c:lblAlgn val="ctr"/>
        <c:lblOffset val="100"/>
        <c:tickLblSkip val="5"/>
        <c:tickMarkSkip val="1"/>
        <c:noMultiLvlLbl val="0"/>
      </c:catAx>
      <c:valAx>
        <c:axId val="257537936"/>
        <c:scaling>
          <c:orientation val="minMax"/>
        </c:scaling>
        <c:delete val="0"/>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57537376"/>
        <c:crosses val="autoZero"/>
        <c:crossBetween val="between"/>
      </c:valAx>
      <c:spPr>
        <a:noFill/>
        <a:ln>
          <a:noFill/>
        </a:ln>
        <a:effectLst/>
      </c:spPr>
    </c:plotArea>
    <c:legend>
      <c:legendPos val="b"/>
      <c:layout>
        <c:manualLayout>
          <c:xMode val="edge"/>
          <c:yMode val="edge"/>
          <c:x val="0.19428025312097033"/>
          <c:y val="0.54114766774485135"/>
          <c:w val="0.47573924745350604"/>
          <c:h val="5.337667853758943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Employment in Manufacturing 
(thousands of persons)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Sheet2!$C$1</c:f>
              <c:strCache>
                <c:ptCount val="1"/>
                <c:pt idx="0">
                  <c:v>USA</c:v>
                </c:pt>
              </c:strCache>
            </c:strRef>
          </c:tx>
          <c:spPr>
            <a:ln w="28575" cap="rnd">
              <a:solidFill>
                <a:schemeClr val="accent1"/>
              </a:solidFill>
              <a:round/>
            </a:ln>
            <a:effectLst/>
          </c:spPr>
          <c:marker>
            <c:symbol val="none"/>
          </c:marker>
          <c:cat>
            <c:numRef>
              <c:f>Sheet2!$B$3:$B$39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Sheet2!$C$3:$C$39</c:f>
              <c:numCache>
                <c:formatCode>#,##0</c:formatCode>
                <c:ptCount val="37"/>
                <c:pt idx="0">
                  <c:v>21941.75</c:v>
                </c:pt>
                <c:pt idx="1">
                  <c:v>21817.17</c:v>
                </c:pt>
                <c:pt idx="2">
                  <c:v>20285.669999999998</c:v>
                </c:pt>
                <c:pt idx="3">
                  <c:v>18510.580000000002</c:v>
                </c:pt>
                <c:pt idx="4">
                  <c:v>19441.580000000002</c:v>
                </c:pt>
                <c:pt idx="5">
                  <c:v>19386.75</c:v>
                </c:pt>
                <c:pt idx="6">
                  <c:v>19492.5</c:v>
                </c:pt>
                <c:pt idx="7">
                  <c:v>19497.25</c:v>
                </c:pt>
                <c:pt idx="8">
                  <c:v>19857.25</c:v>
                </c:pt>
                <c:pt idx="9">
                  <c:v>20196.75</c:v>
                </c:pt>
                <c:pt idx="10">
                  <c:v>19917.419999999998</c:v>
                </c:pt>
                <c:pt idx="11">
                  <c:v>19241.580000000002</c:v>
                </c:pt>
                <c:pt idx="12">
                  <c:v>18855.25</c:v>
                </c:pt>
                <c:pt idx="13">
                  <c:v>18510.080000000002</c:v>
                </c:pt>
                <c:pt idx="14">
                  <c:v>18953.669999999998</c:v>
                </c:pt>
                <c:pt idx="15">
                  <c:v>19299.75</c:v>
                </c:pt>
                <c:pt idx="16">
                  <c:v>19354.919999999998</c:v>
                </c:pt>
                <c:pt idx="17">
                  <c:v>19668.830000000002</c:v>
                </c:pt>
                <c:pt idx="18">
                  <c:v>19686.5</c:v>
                </c:pt>
                <c:pt idx="19">
                  <c:v>19128.330000000002</c:v>
                </c:pt>
                <c:pt idx="20">
                  <c:v>19644.080000000002</c:v>
                </c:pt>
                <c:pt idx="21">
                  <c:v>18433.580000000002</c:v>
                </c:pt>
                <c:pt idx="22">
                  <c:v>17233.080000000002</c:v>
                </c:pt>
                <c:pt idx="23">
                  <c:v>16901.669999999998</c:v>
                </c:pt>
                <c:pt idx="24">
                  <c:v>16483.669999999998</c:v>
                </c:pt>
                <c:pt idx="25">
                  <c:v>16252.58</c:v>
                </c:pt>
                <c:pt idx="26">
                  <c:v>16376.42</c:v>
                </c:pt>
                <c:pt idx="27">
                  <c:v>16301.5</c:v>
                </c:pt>
                <c:pt idx="28">
                  <c:v>15903.5</c:v>
                </c:pt>
                <c:pt idx="29">
                  <c:v>14202.25</c:v>
                </c:pt>
                <c:pt idx="30">
                  <c:v>14081.42</c:v>
                </c:pt>
                <c:pt idx="31">
                  <c:v>14336.33</c:v>
                </c:pt>
                <c:pt idx="32">
                  <c:v>14686.42</c:v>
                </c:pt>
                <c:pt idx="33">
                  <c:v>14869.08</c:v>
                </c:pt>
                <c:pt idx="34">
                  <c:v>15100.25</c:v>
                </c:pt>
                <c:pt idx="35">
                  <c:v>15338.17</c:v>
                </c:pt>
                <c:pt idx="36">
                  <c:v>15407.67</c:v>
                </c:pt>
              </c:numCache>
            </c:numRef>
          </c:val>
          <c:smooth val="0"/>
          <c:extLst xmlns:c16r2="http://schemas.microsoft.com/office/drawing/2015/06/chart">
            <c:ext xmlns:c16="http://schemas.microsoft.com/office/drawing/2014/chart" uri="{C3380CC4-5D6E-409C-BE32-E72D297353CC}">
              <c16:uniqueId val="{00000000-046A-4AD6-AD24-0B63D2B96D20}"/>
            </c:ext>
          </c:extLst>
        </c:ser>
        <c:dLbls>
          <c:showLegendKey val="0"/>
          <c:showVal val="0"/>
          <c:showCatName val="0"/>
          <c:showSerName val="0"/>
          <c:showPercent val="0"/>
          <c:showBubbleSize val="0"/>
        </c:dLbls>
        <c:smooth val="0"/>
        <c:axId val="254834992"/>
        <c:axId val="124467040"/>
        <c:extLst>
          <c:ext xmlns:c15="http://schemas.microsoft.com/office/drawing/2012/chart" uri="{02D57815-91ED-43cb-92C2-25804820EDAC}">
            <c15:filteredLineSeries>
              <c15:ser>
                <c:idx val="1"/>
                <c:order val="1"/>
                <c:tx>
                  <c:strRef>
                    <c:extLst>
                      <c:ext uri="{02D57815-91ED-43cb-92C2-25804820EDAC}">
                        <c15:formulaRef>
                          <c15:sqref>Sheet2!$D$1</c15:sqref>
                        </c15:formulaRef>
                      </c:ext>
                    </c:extLst>
                    <c:strCache>
                      <c:ptCount val="1"/>
                      <c:pt idx="0">
                        <c:v>France</c:v>
                      </c:pt>
                    </c:strCache>
                  </c:strRef>
                </c:tx>
                <c:spPr>
                  <a:ln w="28575" cap="rnd">
                    <a:solidFill>
                      <a:schemeClr val="accent2"/>
                    </a:solidFill>
                    <a:round/>
                  </a:ln>
                  <a:effectLst/>
                </c:spPr>
                <c:marker>
                  <c:symbol val="none"/>
                </c:marker>
                <c:cat>
                  <c:numRef>
                    <c:extLst>
                      <c:ext uri="{02D57815-91ED-43cb-92C2-25804820EDAC}">
                        <c15:formulaRef>
                          <c15:sqref>Sheet2!$B$3:$B$39</c15:sqref>
                        </c15:formulaRef>
                      </c:ext>
                    </c:extLst>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extLst>
                      <c:ext uri="{02D57815-91ED-43cb-92C2-25804820EDAC}">
                        <c15:formulaRef>
                          <c15:sqref>Sheet2!$D$3:$D$39</c15:sqref>
                        </c15:formulaRef>
                      </c:ext>
                    </c:extLst>
                    <c:numCache>
                      <c:formatCode>#,##0</c:formatCode>
                      <c:ptCount val="37"/>
                      <c:pt idx="0">
                        <c:v>5789.1559999999999</c:v>
                      </c:pt>
                      <c:pt idx="1">
                        <c:v>5653.0380000000005</c:v>
                      </c:pt>
                      <c:pt idx="2">
                        <c:v>5360.68</c:v>
                      </c:pt>
                      <c:pt idx="3">
                        <c:v>5289.9500000000007</c:v>
                      </c:pt>
                      <c:pt idx="4">
                        <c:v>5157.357</c:v>
                      </c:pt>
                      <c:pt idx="5">
                        <c:v>4988.2606999999998</c:v>
                      </c:pt>
                      <c:pt idx="6">
                        <c:v>4860.8603400000002</c:v>
                      </c:pt>
                      <c:pt idx="7">
                        <c:v>4768.6475399999999</c:v>
                      </c:pt>
                      <c:pt idx="8">
                        <c:v>4726.0573199999999</c:v>
                      </c:pt>
                      <c:pt idx="9">
                        <c:v>4748.1639999999998</c:v>
                      </c:pt>
                      <c:pt idx="10">
                        <c:v>5011.2616499999995</c:v>
                      </c:pt>
                      <c:pt idx="11">
                        <c:v>4966.8872500000007</c:v>
                      </c:pt>
                      <c:pt idx="12">
                        <c:v>4780.8338399999993</c:v>
                      </c:pt>
                      <c:pt idx="13">
                        <c:v>4553.4166299999997</c:v>
                      </c:pt>
                      <c:pt idx="14">
                        <c:v>4464.7114600000004</c:v>
                      </c:pt>
                      <c:pt idx="23">
                        <c:v>4121.3999999999996</c:v>
                      </c:pt>
                      <c:pt idx="24">
                        <c:v>4062.8249999999998</c:v>
                      </c:pt>
                      <c:pt idx="25">
                        <c:v>4014.5</c:v>
                      </c:pt>
                      <c:pt idx="26">
                        <c:v>3980.625</c:v>
                      </c:pt>
                      <c:pt idx="27">
                        <c:v>3958.95</c:v>
                      </c:pt>
                      <c:pt idx="28">
                        <c:v>3726.7249999999999</c:v>
                      </c:pt>
                      <c:pt idx="29">
                        <c:v>3514.0749999999998</c:v>
                      </c:pt>
                      <c:pt idx="30">
                        <c:v>3373.2750000000001</c:v>
                      </c:pt>
                      <c:pt idx="31">
                        <c:v>3392.7750000000001</c:v>
                      </c:pt>
                      <c:pt idx="32">
                        <c:v>3303.6</c:v>
                      </c:pt>
                      <c:pt idx="33">
                        <c:v>3216.65</c:v>
                      </c:pt>
                      <c:pt idx="34">
                        <c:v>3210.65</c:v>
                      </c:pt>
                      <c:pt idx="35">
                        <c:v>3225.15</c:v>
                      </c:pt>
                      <c:pt idx="36">
                        <c:v>3231.2</c:v>
                      </c:pt>
                    </c:numCache>
                  </c:numRef>
                </c:val>
                <c:smooth val="0"/>
                <c:extLst xmlns:c16r2="http://schemas.microsoft.com/office/drawing/2015/06/chart">
                  <c:ext xmlns:c16="http://schemas.microsoft.com/office/drawing/2014/chart" uri="{C3380CC4-5D6E-409C-BE32-E72D297353CC}">
                    <c16:uniqueId val="{00000001-046A-4AD6-AD24-0B63D2B96D2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Sheet2!$E$1</c15:sqref>
                        </c15:formulaRef>
                      </c:ext>
                    </c:extLst>
                    <c:strCache>
                      <c:ptCount val="1"/>
                      <c:pt idx="0">
                        <c:v>UK</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Sheet2!$B$3:$B$39</c15:sqref>
                        </c15:formulaRef>
                      </c:ext>
                    </c:extLst>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extLst xmlns:c15="http://schemas.microsoft.com/office/drawing/2012/chart">
                      <c:ext xmlns:c15="http://schemas.microsoft.com/office/drawing/2012/chart" uri="{02D57815-91ED-43cb-92C2-25804820EDAC}">
                        <c15:formulaRef>
                          <c15:sqref>Sheet2!$E$3:$E$39</c15:sqref>
                        </c15:formulaRef>
                      </c:ext>
                    </c:extLst>
                    <c:numCache>
                      <c:formatCode>#,##0</c:formatCode>
                      <c:ptCount val="37"/>
                      <c:pt idx="0">
                        <c:v>11336.497600000001</c:v>
                      </c:pt>
                      <c:pt idx="1">
                        <c:v>11047.854939999999</c:v>
                      </c:pt>
                      <c:pt idx="2">
                        <c:v>10672.641119999998</c:v>
                      </c:pt>
                      <c:pt idx="3">
                        <c:v>10328.88738</c:v>
                      </c:pt>
                      <c:pt idx="4">
                        <c:v>10315.81329</c:v>
                      </c:pt>
                      <c:pt idx="5">
                        <c:v>10451.650149999998</c:v>
                      </c:pt>
                      <c:pt idx="6">
                        <c:v>10562.917189999998</c:v>
                      </c:pt>
                      <c:pt idx="7">
                        <c:v>10547.4048</c:v>
                      </c:pt>
                      <c:pt idx="8">
                        <c:v>10945.21616</c:v>
                      </c:pt>
                      <c:pt idx="9">
                        <c:v>11069.606400000001</c:v>
                      </c:pt>
                      <c:pt idx="10">
                        <c:v>11760.856400000001</c:v>
                      </c:pt>
                      <c:pt idx="11">
                        <c:v>11319.320250000001</c:v>
                      </c:pt>
                      <c:pt idx="12">
                        <c:v>10734.97625</c:v>
                      </c:pt>
                      <c:pt idx="13">
                        <c:v>10112.7685</c:v>
                      </c:pt>
                      <c:pt idx="14">
                        <c:v>9511.0960000000014</c:v>
                      </c:pt>
                      <c:pt idx="15">
                        <c:v>9016.56</c:v>
                      </c:pt>
                      <c:pt idx="16">
                        <c:v>8659.7302500000005</c:v>
                      </c:pt>
                      <c:pt idx="17">
                        <c:v>8521.92</c:v>
                      </c:pt>
                      <c:pt idx="18">
                        <c:v>8690.7612500000014</c:v>
                      </c:pt>
                      <c:pt idx="19">
                        <c:v>8578.0864399999991</c:v>
                      </c:pt>
                      <c:pt idx="20">
                        <c:v>8660.2844999999998</c:v>
                      </c:pt>
                      <c:pt idx="21">
                        <c:v>8614.0446599999996</c:v>
                      </c:pt>
                      <c:pt idx="22">
                        <c:v>8510.4856799999998</c:v>
                      </c:pt>
                      <c:pt idx="23">
                        <c:v>8330.5841400000008</c:v>
                      </c:pt>
                      <c:pt idx="24">
                        <c:v>8287.2820800000009</c:v>
                      </c:pt>
                      <c:pt idx="25">
                        <c:v>8016.65</c:v>
                      </c:pt>
                      <c:pt idx="26">
                        <c:v>8145.4750000000004</c:v>
                      </c:pt>
                      <c:pt idx="27">
                        <c:v>8390.9750000000004</c:v>
                      </c:pt>
                      <c:pt idx="28">
                        <c:v>8106.6750000000002</c:v>
                      </c:pt>
                      <c:pt idx="29">
                        <c:v>7848.0249999999996</c:v>
                      </c:pt>
                      <c:pt idx="30">
                        <c:v>7580.2</c:v>
                      </c:pt>
                      <c:pt idx="31">
                        <c:v>7694.35</c:v>
                      </c:pt>
                      <c:pt idx="32">
                        <c:v>7717.55</c:v>
                      </c:pt>
                      <c:pt idx="33">
                        <c:v>7648.35</c:v>
                      </c:pt>
                      <c:pt idx="34">
                        <c:v>7808.2749999999996</c:v>
                      </c:pt>
                      <c:pt idx="35">
                        <c:v>7759.4</c:v>
                      </c:pt>
                      <c:pt idx="36">
                        <c:v>7903.75</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2-046A-4AD6-AD24-0B63D2B96D2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Sheet2!$F$1</c15:sqref>
                        </c15:formulaRef>
                      </c:ext>
                    </c:extLst>
                    <c:strCache>
                      <c:ptCount val="1"/>
                      <c:pt idx="0">
                        <c:v>Italy</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Sheet2!$B$3:$B$39</c15:sqref>
                        </c15:formulaRef>
                      </c:ext>
                    </c:extLst>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extLst xmlns:c15="http://schemas.microsoft.com/office/drawing/2012/chart">
                      <c:ext xmlns:c15="http://schemas.microsoft.com/office/drawing/2012/chart" uri="{02D57815-91ED-43cb-92C2-25804820EDAC}">
                        <c15:formulaRef>
                          <c15:sqref>Sheet2!$F$3:$F$39</c15:sqref>
                        </c15:formulaRef>
                      </c:ext>
                    </c:extLst>
                    <c:numCache>
                      <c:formatCode>#,##0</c:formatCode>
                      <c:ptCount val="37"/>
                      <c:pt idx="0">
                        <c:v>5464.1969999999992</c:v>
                      </c:pt>
                      <c:pt idx="1">
                        <c:v>5354.9430000000002</c:v>
                      </c:pt>
                      <c:pt idx="2">
                        <c:v>5236.6260000000002</c:v>
                      </c:pt>
                      <c:pt idx="3">
                        <c:v>5087.5</c:v>
                      </c:pt>
                      <c:pt idx="4">
                        <c:v>4879.902</c:v>
                      </c:pt>
                      <c:pt idx="5">
                        <c:v>4757.8559999999998</c:v>
                      </c:pt>
                      <c:pt idx="6">
                        <c:v>4720.6059999999998</c:v>
                      </c:pt>
                      <c:pt idx="7">
                        <c:v>4631.4000000000005</c:v>
                      </c:pt>
                      <c:pt idx="8">
                        <c:v>4704.8680000000004</c:v>
                      </c:pt>
                      <c:pt idx="9">
                        <c:v>4749.924</c:v>
                      </c:pt>
                      <c:pt idx="10">
                        <c:v>4794.59</c:v>
                      </c:pt>
                      <c:pt idx="11">
                        <c:v>4731.6099999999997</c:v>
                      </c:pt>
                      <c:pt idx="12">
                        <c:v>4679.3999999999996</c:v>
                      </c:pt>
                      <c:pt idx="13">
                        <c:v>4873.2479999999996</c:v>
                      </c:pt>
                      <c:pt idx="14">
                        <c:v>4853.23974</c:v>
                      </c:pt>
                      <c:pt idx="15">
                        <c:v>4784.1512500000008</c:v>
                      </c:pt>
                      <c:pt idx="16">
                        <c:v>4728.3206399999999</c:v>
                      </c:pt>
                      <c:pt idx="17">
                        <c:v>4706.45075</c:v>
                      </c:pt>
                      <c:pt idx="18">
                        <c:v>4921.1750000000002</c:v>
                      </c:pt>
                      <c:pt idx="19">
                        <c:v>4928.3500000000004</c:v>
                      </c:pt>
                      <c:pt idx="20">
                        <c:v>4917.8</c:v>
                      </c:pt>
                      <c:pt idx="21">
                        <c:v>4906.7</c:v>
                      </c:pt>
                      <c:pt idx="22">
                        <c:v>4962.0249999999996</c:v>
                      </c:pt>
                      <c:pt idx="23">
                        <c:v>4990.25</c:v>
                      </c:pt>
                      <c:pt idx="24">
                        <c:v>4845.6499999999996</c:v>
                      </c:pt>
                      <c:pt idx="25">
                        <c:v>4824.5749999999998</c:v>
                      </c:pt>
                      <c:pt idx="26">
                        <c:v>4825.55</c:v>
                      </c:pt>
                      <c:pt idx="27">
                        <c:v>4869.8249999999998</c:v>
                      </c:pt>
                      <c:pt idx="28">
                        <c:v>4597.6499999999996</c:v>
                      </c:pt>
                      <c:pt idx="29">
                        <c:v>4378.9750000000004</c:v>
                      </c:pt>
                      <c:pt idx="30">
                        <c:v>4195.5</c:v>
                      </c:pt>
                      <c:pt idx="31">
                        <c:v>4226.125</c:v>
                      </c:pt>
                      <c:pt idx="32">
                        <c:v>4131.3249999999998</c:v>
                      </c:pt>
                      <c:pt idx="33">
                        <c:v>4062.5749999999998</c:v>
                      </c:pt>
                      <c:pt idx="34">
                        <c:v>4134.2250000000004</c:v>
                      </c:pt>
                      <c:pt idx="35">
                        <c:v>4121.8249999999998</c:v>
                      </c:pt>
                      <c:pt idx="36">
                        <c:v>4148.4250000000002</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3-046A-4AD6-AD24-0B63D2B96D2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Sheet2!$G$1</c15:sqref>
                        </c15:formulaRef>
                      </c:ext>
                    </c:extLst>
                    <c:strCache>
                      <c:ptCount val="1"/>
                      <c:pt idx="0">
                        <c:v>Japan</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Sheet2!$B$3:$B$39</c15:sqref>
                        </c15:formulaRef>
                      </c:ext>
                    </c:extLst>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extLst xmlns:c15="http://schemas.microsoft.com/office/drawing/2012/chart">
                      <c:ext xmlns:c15="http://schemas.microsoft.com/office/drawing/2012/chart" uri="{02D57815-91ED-43cb-92C2-25804820EDAC}">
                        <c15:formulaRef>
                          <c15:sqref>Sheet2!$G$3:$G$39</c15:sqref>
                        </c15:formulaRef>
                      </c:ext>
                    </c:extLst>
                    <c:numCache>
                      <c:formatCode>#,##0</c:formatCode>
                      <c:ptCount val="37"/>
                      <c:pt idx="0">
                        <c:v>13840</c:v>
                      </c:pt>
                      <c:pt idx="1">
                        <c:v>14009.356669999999</c:v>
                      </c:pt>
                      <c:pt idx="2">
                        <c:v>13926.477499999999</c:v>
                      </c:pt>
                      <c:pt idx="3">
                        <c:v>14216.39416</c:v>
                      </c:pt>
                      <c:pt idx="4">
                        <c:v>14530.74084</c:v>
                      </c:pt>
                      <c:pt idx="5">
                        <c:v>14691.710000000001</c:v>
                      </c:pt>
                      <c:pt idx="6">
                        <c:v>14575.008329999999</c:v>
                      </c:pt>
                      <c:pt idx="7">
                        <c:v>14422.027479999999</c:v>
                      </c:pt>
                      <c:pt idx="8">
                        <c:v>14725.92835</c:v>
                      </c:pt>
                      <c:pt idx="9">
                        <c:v>15013.6</c:v>
                      </c:pt>
                      <c:pt idx="10">
                        <c:v>15186.285</c:v>
                      </c:pt>
                      <c:pt idx="11">
                        <c:v>15667.125000000002</c:v>
                      </c:pt>
                      <c:pt idx="12">
                        <c:v>15832.97082</c:v>
                      </c:pt>
                      <c:pt idx="13">
                        <c:v>15414.704129999998</c:v>
                      </c:pt>
                      <c:pt idx="14">
                        <c:v>15100.019999999999</c:v>
                      </c:pt>
                      <c:pt idx="15">
                        <c:v>14656.44341</c:v>
                      </c:pt>
                      <c:pt idx="16">
                        <c:v>14593.313249999999</c:v>
                      </c:pt>
                      <c:pt idx="17">
                        <c:v>14555.985000000001</c:v>
                      </c:pt>
                      <c:pt idx="18">
                        <c:v>13940.317379999999</c:v>
                      </c:pt>
                      <c:pt idx="19">
                        <c:v>13570.899299999999</c:v>
                      </c:pt>
                      <c:pt idx="20">
                        <c:v>13343.909309999999</c:v>
                      </c:pt>
                      <c:pt idx="21">
                        <c:v>12952.407659999999</c:v>
                      </c:pt>
                      <c:pt idx="22">
                        <c:v>12017.5</c:v>
                      </c:pt>
                      <c:pt idx="23">
                        <c:v>11781.67</c:v>
                      </c:pt>
                      <c:pt idx="24">
                        <c:v>11499.17</c:v>
                      </c:pt>
                      <c:pt idx="25">
                        <c:v>11423.33</c:v>
                      </c:pt>
                      <c:pt idx="26">
                        <c:v>11605.83</c:v>
                      </c:pt>
                      <c:pt idx="27">
                        <c:v>11654.17</c:v>
                      </c:pt>
                      <c:pt idx="28">
                        <c:v>11439.17</c:v>
                      </c:pt>
                      <c:pt idx="29">
                        <c:v>10726.67</c:v>
                      </c:pt>
                      <c:pt idx="30">
                        <c:v>10485.83</c:v>
                      </c:pt>
                      <c:pt idx="31">
                        <c:v>10190.83</c:v>
                      </c:pt>
                      <c:pt idx="32">
                        <c:v>10317.5</c:v>
                      </c:pt>
                      <c:pt idx="33">
                        <c:v>10390</c:v>
                      </c:pt>
                      <c:pt idx="34">
                        <c:v>10402.5</c:v>
                      </c:pt>
                      <c:pt idx="35">
                        <c:v>10353.33</c:v>
                      </c:pt>
                      <c:pt idx="36">
                        <c:v>10406.67</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4-046A-4AD6-AD24-0B63D2B96D2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Sheet2!$H$1</c15:sqref>
                        </c15:formulaRef>
                      </c:ext>
                    </c:extLst>
                    <c:strCache>
                      <c:ptCount val="1"/>
                      <c:pt idx="0">
                        <c:v>Germany</c:v>
                      </c:pt>
                    </c:strCache>
                  </c:strRef>
                </c:tx>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Sheet2!$B$3:$B$39</c15:sqref>
                        </c15:formulaRef>
                      </c:ext>
                    </c:extLst>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extLst xmlns:c15="http://schemas.microsoft.com/office/drawing/2012/chart">
                      <c:ext xmlns:c15="http://schemas.microsoft.com/office/drawing/2012/chart" uri="{02D57815-91ED-43cb-92C2-25804820EDAC}">
                        <c15:formulaRef>
                          <c15:sqref>Sheet2!$H$3:$H$39</c15:sqref>
                        </c15:formulaRef>
                      </c:ext>
                    </c:extLst>
                    <c:numCache>
                      <c:formatCode>#,##0</c:formatCode>
                      <c:ptCount val="37"/>
                      <c:pt idx="0">
                        <c:v>7026.1240000000007</c:v>
                      </c:pt>
                      <c:pt idx="1">
                        <c:v>6314.893</c:v>
                      </c:pt>
                      <c:pt idx="2">
                        <c:v>5966.7520000000004</c:v>
                      </c:pt>
                      <c:pt idx="3">
                        <c:v>5616.2640000000001</c:v>
                      </c:pt>
                      <c:pt idx="4">
                        <c:v>5891.9380000000001</c:v>
                      </c:pt>
                      <c:pt idx="5">
                        <c:v>5965.5000000000009</c:v>
                      </c:pt>
                      <c:pt idx="6">
                        <c:v>5948.72</c:v>
                      </c:pt>
                      <c:pt idx="7">
                        <c:v>5693.42</c:v>
                      </c:pt>
                      <c:pt idx="8">
                        <c:v>5989.9639999999999</c:v>
                      </c:pt>
                      <c:pt idx="9">
                        <c:v>5973.5250000000005</c:v>
                      </c:pt>
                      <c:pt idx="10">
                        <c:v>5926.7780000000002</c:v>
                      </c:pt>
                      <c:pt idx="11">
                        <c:v>5889.1080000000002</c:v>
                      </c:pt>
                      <c:pt idx="12">
                        <c:v>5366.7850000000008</c:v>
                      </c:pt>
                      <c:pt idx="13">
                        <c:v>5243.3919999999998</c:v>
                      </c:pt>
                      <c:pt idx="14">
                        <c:v>4772.8169999999991</c:v>
                      </c:pt>
                      <c:pt idx="15">
                        <c:v>4791.9319999999998</c:v>
                      </c:pt>
                      <c:pt idx="16">
                        <c:v>4913.857</c:v>
                      </c:pt>
                      <c:pt idx="17">
                        <c:v>4341.7300000000005</c:v>
                      </c:pt>
                      <c:pt idx="18">
                        <c:v>4302.3850000000002</c:v>
                      </c:pt>
                      <c:pt idx="19">
                        <c:v>4163.7960000000003</c:v>
                      </c:pt>
                      <c:pt idx="20">
                        <c:v>4610.5749999999998</c:v>
                      </c:pt>
                      <c:pt idx="21">
                        <c:v>4468.4250000000002</c:v>
                      </c:pt>
                      <c:pt idx="22">
                        <c:v>4340.95</c:v>
                      </c:pt>
                      <c:pt idx="23">
                        <c:v>4088</c:v>
                      </c:pt>
                      <c:pt idx="24">
                        <c:v>3865.625</c:v>
                      </c:pt>
                      <c:pt idx="25">
                        <c:v>3779.6750000000002</c:v>
                      </c:pt>
                      <c:pt idx="26">
                        <c:v>3725.8</c:v>
                      </c:pt>
                      <c:pt idx="27">
                        <c:v>3708.8</c:v>
                      </c:pt>
                      <c:pt idx="28">
                        <c:v>3345.3</c:v>
                      </c:pt>
                      <c:pt idx="29">
                        <c:v>2806.1</c:v>
                      </c:pt>
                      <c:pt idx="30">
                        <c:v>2864.7249999999999</c:v>
                      </c:pt>
                      <c:pt idx="31">
                        <c:v>2859.2750000000001</c:v>
                      </c:pt>
                      <c:pt idx="32">
                        <c:v>2899.85</c:v>
                      </c:pt>
                      <c:pt idx="33">
                        <c:v>2920.9250000000002</c:v>
                      </c:pt>
                      <c:pt idx="34">
                        <c:v>3007.2249999999999</c:v>
                      </c:pt>
                      <c:pt idx="35">
                        <c:v>2991.7249999999999</c:v>
                      </c:pt>
                      <c:pt idx="36">
                        <c:v>2990.95</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5-046A-4AD6-AD24-0B63D2B96D20}"/>
                  </c:ext>
                </c:extLst>
              </c15:ser>
            </c15:filteredLineSeries>
          </c:ext>
        </c:extLst>
      </c:lineChart>
      <c:catAx>
        <c:axId val="25483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4467040"/>
        <c:crosses val="autoZero"/>
        <c:auto val="1"/>
        <c:lblAlgn val="ctr"/>
        <c:lblOffset val="100"/>
        <c:tickLblSkip val="5"/>
        <c:noMultiLvlLbl val="0"/>
      </c:catAx>
      <c:valAx>
        <c:axId val="124467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5483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Percent of Employment in Manufacturing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Sheet2!$R$1</c:f>
              <c:strCache>
                <c:ptCount val="1"/>
                <c:pt idx="0">
                  <c:v>USA</c:v>
                </c:pt>
              </c:strCache>
            </c:strRef>
          </c:tx>
          <c:spPr>
            <a:ln w="28575" cap="rnd">
              <a:solidFill>
                <a:schemeClr val="accent1"/>
              </a:solidFill>
              <a:round/>
            </a:ln>
            <a:effectLst/>
          </c:spPr>
          <c:marker>
            <c:symbol val="none"/>
          </c:marker>
          <c:cat>
            <c:numRef>
              <c:f>Sheet2!$Q$3:$Q$39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Sheet2!$R$3:$R$39</c:f>
              <c:numCache>
                <c:formatCode>0.00</c:formatCode>
                <c:ptCount val="37"/>
                <c:pt idx="0">
                  <c:v>22.1</c:v>
                </c:pt>
                <c:pt idx="1">
                  <c:v>21.7</c:v>
                </c:pt>
                <c:pt idx="2">
                  <c:v>20.399999999999999</c:v>
                </c:pt>
                <c:pt idx="3">
                  <c:v>18.399999999999999</c:v>
                </c:pt>
                <c:pt idx="4">
                  <c:v>18.5</c:v>
                </c:pt>
                <c:pt idx="5">
                  <c:v>18.100000000000001</c:v>
                </c:pt>
                <c:pt idx="6">
                  <c:v>17.8</c:v>
                </c:pt>
                <c:pt idx="7">
                  <c:v>17.3</c:v>
                </c:pt>
                <c:pt idx="8">
                  <c:v>17.3</c:v>
                </c:pt>
                <c:pt idx="9">
                  <c:v>17.2</c:v>
                </c:pt>
                <c:pt idx="10">
                  <c:v>16.8</c:v>
                </c:pt>
                <c:pt idx="11">
                  <c:v>16.3</c:v>
                </c:pt>
                <c:pt idx="12">
                  <c:v>15.9</c:v>
                </c:pt>
                <c:pt idx="13">
                  <c:v>15.4</c:v>
                </c:pt>
                <c:pt idx="14">
                  <c:v>15.4</c:v>
                </c:pt>
                <c:pt idx="15">
                  <c:v>15.5</c:v>
                </c:pt>
                <c:pt idx="16">
                  <c:v>15.3</c:v>
                </c:pt>
                <c:pt idx="17">
                  <c:v>15.2</c:v>
                </c:pt>
                <c:pt idx="18">
                  <c:v>15</c:v>
                </c:pt>
                <c:pt idx="19">
                  <c:v>14.3</c:v>
                </c:pt>
                <c:pt idx="20">
                  <c:v>14.4</c:v>
                </c:pt>
                <c:pt idx="21">
                  <c:v>13.5</c:v>
                </c:pt>
                <c:pt idx="22">
                  <c:v>12.6</c:v>
                </c:pt>
                <c:pt idx="23">
                  <c:v>12.3</c:v>
                </c:pt>
                <c:pt idx="24">
                  <c:v>11.8</c:v>
                </c:pt>
                <c:pt idx="25">
                  <c:v>11.5</c:v>
                </c:pt>
                <c:pt idx="26">
                  <c:v>11.3</c:v>
                </c:pt>
                <c:pt idx="27">
                  <c:v>11.2</c:v>
                </c:pt>
                <c:pt idx="28">
                  <c:v>10.9</c:v>
                </c:pt>
                <c:pt idx="29">
                  <c:v>10.199999999999999</c:v>
                </c:pt>
                <c:pt idx="30">
                  <c:v>10.1</c:v>
                </c:pt>
                <c:pt idx="31">
                  <c:v>10.199999999999999</c:v>
                </c:pt>
                <c:pt idx="32">
                  <c:v>10.3</c:v>
                </c:pt>
                <c:pt idx="33">
                  <c:v>10.330822146706751</c:v>
                </c:pt>
                <c:pt idx="34">
                  <c:v>10.321054671293522</c:v>
                </c:pt>
                <c:pt idx="35">
                  <c:v>10.305596727616248</c:v>
                </c:pt>
                <c:pt idx="36">
                  <c:v>10.174390731914119</c:v>
                </c:pt>
              </c:numCache>
            </c:numRef>
          </c:val>
          <c:smooth val="0"/>
          <c:extLst xmlns:c16r2="http://schemas.microsoft.com/office/drawing/2015/06/chart">
            <c:ext xmlns:c16="http://schemas.microsoft.com/office/drawing/2014/chart" uri="{C3380CC4-5D6E-409C-BE32-E72D297353CC}">
              <c16:uniqueId val="{00000000-BA2A-47E5-99D7-7214DE84D3E5}"/>
            </c:ext>
          </c:extLst>
        </c:ser>
        <c:ser>
          <c:idx val="1"/>
          <c:order val="1"/>
          <c:tx>
            <c:strRef>
              <c:f>Sheet2!$S$1</c:f>
              <c:strCache>
                <c:ptCount val="1"/>
                <c:pt idx="0">
                  <c:v>France</c:v>
                </c:pt>
              </c:strCache>
            </c:strRef>
          </c:tx>
          <c:spPr>
            <a:ln w="28575" cap="rnd">
              <a:solidFill>
                <a:schemeClr val="accent2"/>
              </a:solidFill>
              <a:round/>
            </a:ln>
            <a:effectLst/>
          </c:spPr>
          <c:marker>
            <c:symbol val="none"/>
          </c:marker>
          <c:cat>
            <c:numRef>
              <c:f>Sheet2!$Q$3:$Q$39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Sheet2!$S$3:$S$39</c:f>
              <c:numCache>
                <c:formatCode>0.00</c:formatCode>
                <c:ptCount val="37"/>
                <c:pt idx="0">
                  <c:v>26.3</c:v>
                </c:pt>
                <c:pt idx="1">
                  <c:v>25.8</c:v>
                </c:pt>
                <c:pt idx="2">
                  <c:v>24.4</c:v>
                </c:pt>
                <c:pt idx="3">
                  <c:v>24.1</c:v>
                </c:pt>
                <c:pt idx="4">
                  <c:v>23.7</c:v>
                </c:pt>
                <c:pt idx="5">
                  <c:v>23</c:v>
                </c:pt>
                <c:pt idx="6">
                  <c:v>22.3</c:v>
                </c:pt>
                <c:pt idx="7">
                  <c:v>21.8</c:v>
                </c:pt>
                <c:pt idx="8">
                  <c:v>21.4</c:v>
                </c:pt>
                <c:pt idx="9">
                  <c:v>21.2</c:v>
                </c:pt>
                <c:pt idx="10">
                  <c:v>21.3</c:v>
                </c:pt>
                <c:pt idx="11">
                  <c:v>21.1</c:v>
                </c:pt>
                <c:pt idx="12">
                  <c:v>20.399999999999999</c:v>
                </c:pt>
                <c:pt idx="13">
                  <c:v>19.7</c:v>
                </c:pt>
                <c:pt idx="14">
                  <c:v>19.3</c:v>
                </c:pt>
                <c:pt idx="15">
                  <c:v>19</c:v>
                </c:pt>
                <c:pt idx="16">
                  <c:v>18.7</c:v>
                </c:pt>
                <c:pt idx="17">
                  <c:v>18.600000000000001</c:v>
                </c:pt>
                <c:pt idx="18">
                  <c:v>18.399999999999999</c:v>
                </c:pt>
                <c:pt idx="19">
                  <c:v>18.2</c:v>
                </c:pt>
                <c:pt idx="20">
                  <c:v>17.899999999999999</c:v>
                </c:pt>
                <c:pt idx="21">
                  <c:v>17.8</c:v>
                </c:pt>
                <c:pt idx="22">
                  <c:v>17.399999999999999</c:v>
                </c:pt>
                <c:pt idx="23">
                  <c:v>17</c:v>
                </c:pt>
                <c:pt idx="24">
                  <c:v>16.7</c:v>
                </c:pt>
                <c:pt idx="25">
                  <c:v>16.399999999999999</c:v>
                </c:pt>
                <c:pt idx="26">
                  <c:v>16.100000000000001</c:v>
                </c:pt>
                <c:pt idx="27">
                  <c:v>15.7</c:v>
                </c:pt>
                <c:pt idx="28">
                  <c:v>14.6</c:v>
                </c:pt>
                <c:pt idx="29">
                  <c:v>13.9</c:v>
                </c:pt>
                <c:pt idx="30">
                  <c:v>13.3</c:v>
                </c:pt>
                <c:pt idx="31">
                  <c:v>13.4</c:v>
                </c:pt>
                <c:pt idx="32">
                  <c:v>13</c:v>
                </c:pt>
                <c:pt idx="33">
                  <c:v>12.474743361527693</c:v>
                </c:pt>
                <c:pt idx="34">
                  <c:v>12.163234689644591</c:v>
                </c:pt>
                <c:pt idx="35">
                  <c:v>12.205510806199884</c:v>
                </c:pt>
                <c:pt idx="36">
                  <c:v>12.15476180624154</c:v>
                </c:pt>
              </c:numCache>
            </c:numRef>
          </c:val>
          <c:smooth val="0"/>
          <c:extLst xmlns:c16r2="http://schemas.microsoft.com/office/drawing/2015/06/chart">
            <c:ext xmlns:c16="http://schemas.microsoft.com/office/drawing/2014/chart" uri="{C3380CC4-5D6E-409C-BE32-E72D297353CC}">
              <c16:uniqueId val="{00000001-BA2A-47E5-99D7-7214DE84D3E5}"/>
            </c:ext>
          </c:extLst>
        </c:ser>
        <c:ser>
          <c:idx val="2"/>
          <c:order val="2"/>
          <c:tx>
            <c:strRef>
              <c:f>Sheet2!$T$1</c:f>
              <c:strCache>
                <c:ptCount val="1"/>
                <c:pt idx="0">
                  <c:v>UK</c:v>
                </c:pt>
              </c:strCache>
            </c:strRef>
          </c:tx>
          <c:spPr>
            <a:ln w="28575" cap="rnd">
              <a:solidFill>
                <a:schemeClr val="accent3"/>
              </a:solidFill>
              <a:round/>
            </a:ln>
            <a:effectLst/>
          </c:spPr>
          <c:marker>
            <c:symbol val="none"/>
          </c:marker>
          <c:cat>
            <c:numRef>
              <c:f>Sheet2!$Q$3:$Q$39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Sheet2!$T$3:$T$39</c:f>
              <c:numCache>
                <c:formatCode>0.00</c:formatCode>
                <c:ptCount val="37"/>
                <c:pt idx="0">
                  <c:v>34</c:v>
                </c:pt>
                <c:pt idx="1">
                  <c:v>33.4</c:v>
                </c:pt>
                <c:pt idx="2">
                  <c:v>32.799999999999997</c:v>
                </c:pt>
                <c:pt idx="3">
                  <c:v>32.200000000000003</c:v>
                </c:pt>
                <c:pt idx="4">
                  <c:v>32.1</c:v>
                </c:pt>
                <c:pt idx="5">
                  <c:v>32.299999999999997</c:v>
                </c:pt>
                <c:pt idx="6">
                  <c:v>32.299999999999997</c:v>
                </c:pt>
                <c:pt idx="7">
                  <c:v>32</c:v>
                </c:pt>
                <c:pt idx="8">
                  <c:v>31.6</c:v>
                </c:pt>
                <c:pt idx="9">
                  <c:v>31.6</c:v>
                </c:pt>
                <c:pt idx="10">
                  <c:v>31.6</c:v>
                </c:pt>
                <c:pt idx="11">
                  <c:v>30.7</c:v>
                </c:pt>
                <c:pt idx="12">
                  <c:v>29.5</c:v>
                </c:pt>
                <c:pt idx="13">
                  <c:v>28.1</c:v>
                </c:pt>
                <c:pt idx="14">
                  <c:v>26.6</c:v>
                </c:pt>
                <c:pt idx="15">
                  <c:v>25.2</c:v>
                </c:pt>
                <c:pt idx="16">
                  <c:v>24.3</c:v>
                </c:pt>
                <c:pt idx="17">
                  <c:v>24</c:v>
                </c:pt>
                <c:pt idx="18">
                  <c:v>24.1</c:v>
                </c:pt>
                <c:pt idx="19">
                  <c:v>23.8</c:v>
                </c:pt>
                <c:pt idx="20">
                  <c:v>23.9</c:v>
                </c:pt>
                <c:pt idx="21">
                  <c:v>23.7</c:v>
                </c:pt>
                <c:pt idx="22">
                  <c:v>23.6</c:v>
                </c:pt>
                <c:pt idx="23">
                  <c:v>23.3</c:v>
                </c:pt>
                <c:pt idx="24">
                  <c:v>23.1</c:v>
                </c:pt>
                <c:pt idx="25">
                  <c:v>22.2</c:v>
                </c:pt>
                <c:pt idx="26">
                  <c:v>22</c:v>
                </c:pt>
                <c:pt idx="27">
                  <c:v>22.2</c:v>
                </c:pt>
                <c:pt idx="28">
                  <c:v>22.2</c:v>
                </c:pt>
                <c:pt idx="29">
                  <c:v>20.5</c:v>
                </c:pt>
                <c:pt idx="30">
                  <c:v>20.100000000000001</c:v>
                </c:pt>
                <c:pt idx="31">
                  <c:v>20</c:v>
                </c:pt>
                <c:pt idx="32">
                  <c:v>19.8</c:v>
                </c:pt>
                <c:pt idx="33">
                  <c:v>19.34755580064936</c:v>
                </c:pt>
                <c:pt idx="34">
                  <c:v>19.583688225019888</c:v>
                </c:pt>
                <c:pt idx="35">
                  <c:v>19.296757844266104</c:v>
                </c:pt>
                <c:pt idx="36">
                  <c:v>19.15257358731974</c:v>
                </c:pt>
              </c:numCache>
            </c:numRef>
          </c:val>
          <c:smooth val="0"/>
          <c:extLst xmlns:c16r2="http://schemas.microsoft.com/office/drawing/2015/06/chart">
            <c:ext xmlns:c16="http://schemas.microsoft.com/office/drawing/2014/chart" uri="{C3380CC4-5D6E-409C-BE32-E72D297353CC}">
              <c16:uniqueId val="{00000002-BA2A-47E5-99D7-7214DE84D3E5}"/>
            </c:ext>
          </c:extLst>
        </c:ser>
        <c:ser>
          <c:idx val="3"/>
          <c:order val="3"/>
          <c:tx>
            <c:strRef>
              <c:f>Sheet2!$U$1</c:f>
              <c:strCache>
                <c:ptCount val="1"/>
                <c:pt idx="0">
                  <c:v>Italy</c:v>
                </c:pt>
              </c:strCache>
            </c:strRef>
          </c:tx>
          <c:spPr>
            <a:ln w="28575" cap="rnd">
              <a:solidFill>
                <a:schemeClr val="accent4"/>
              </a:solidFill>
              <a:round/>
            </a:ln>
            <a:effectLst/>
          </c:spPr>
          <c:marker>
            <c:symbol val="none"/>
          </c:marker>
          <c:cat>
            <c:numRef>
              <c:f>Sheet2!$Q$3:$Q$39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Sheet2!$U$3:$U$39</c:f>
              <c:numCache>
                <c:formatCode>0.00</c:formatCode>
                <c:ptCount val="37"/>
                <c:pt idx="0">
                  <c:v>26.9</c:v>
                </c:pt>
                <c:pt idx="1">
                  <c:v>26.3</c:v>
                </c:pt>
                <c:pt idx="2">
                  <c:v>25.8</c:v>
                </c:pt>
                <c:pt idx="3">
                  <c:v>25</c:v>
                </c:pt>
                <c:pt idx="4">
                  <c:v>23.9</c:v>
                </c:pt>
                <c:pt idx="5">
                  <c:v>23.2</c:v>
                </c:pt>
                <c:pt idx="6">
                  <c:v>22.9</c:v>
                </c:pt>
                <c:pt idx="7">
                  <c:v>22.5</c:v>
                </c:pt>
                <c:pt idx="8">
                  <c:v>22.6</c:v>
                </c:pt>
                <c:pt idx="9">
                  <c:v>22.8</c:v>
                </c:pt>
                <c:pt idx="10">
                  <c:v>22.6</c:v>
                </c:pt>
                <c:pt idx="11">
                  <c:v>22.1</c:v>
                </c:pt>
                <c:pt idx="12">
                  <c:v>22</c:v>
                </c:pt>
                <c:pt idx="13">
                  <c:v>24</c:v>
                </c:pt>
                <c:pt idx="14">
                  <c:v>24.3</c:v>
                </c:pt>
                <c:pt idx="15">
                  <c:v>24.1</c:v>
                </c:pt>
                <c:pt idx="16">
                  <c:v>23.7</c:v>
                </c:pt>
                <c:pt idx="17">
                  <c:v>23.5</c:v>
                </c:pt>
                <c:pt idx="18">
                  <c:v>23.7</c:v>
                </c:pt>
                <c:pt idx="19">
                  <c:v>23.4</c:v>
                </c:pt>
                <c:pt idx="20">
                  <c:v>22.9</c:v>
                </c:pt>
                <c:pt idx="21">
                  <c:v>22.4</c:v>
                </c:pt>
                <c:pt idx="22">
                  <c:v>22.3</c:v>
                </c:pt>
                <c:pt idx="23">
                  <c:v>22.1</c:v>
                </c:pt>
                <c:pt idx="24">
                  <c:v>21.9</c:v>
                </c:pt>
                <c:pt idx="25">
                  <c:v>21.6</c:v>
                </c:pt>
                <c:pt idx="26">
                  <c:v>21.2</c:v>
                </c:pt>
                <c:pt idx="27">
                  <c:v>21.2</c:v>
                </c:pt>
                <c:pt idx="28">
                  <c:v>20.100000000000001</c:v>
                </c:pt>
                <c:pt idx="29">
                  <c:v>19.5</c:v>
                </c:pt>
                <c:pt idx="30">
                  <c:v>18.899999999999999</c:v>
                </c:pt>
                <c:pt idx="31">
                  <c:v>19</c:v>
                </c:pt>
                <c:pt idx="32">
                  <c:v>18.600000000000001</c:v>
                </c:pt>
                <c:pt idx="33">
                  <c:v>18.30769702210808</c:v>
                </c:pt>
                <c:pt idx="34">
                  <c:v>18.556658690520596</c:v>
                </c:pt>
                <c:pt idx="35">
                  <c:v>18.347967371103618</c:v>
                </c:pt>
                <c:pt idx="36">
                  <c:v>18.228545315133022</c:v>
                </c:pt>
              </c:numCache>
            </c:numRef>
          </c:val>
          <c:smooth val="0"/>
          <c:extLst xmlns:c16r2="http://schemas.microsoft.com/office/drawing/2015/06/chart">
            <c:ext xmlns:c16="http://schemas.microsoft.com/office/drawing/2014/chart" uri="{C3380CC4-5D6E-409C-BE32-E72D297353CC}">
              <c16:uniqueId val="{00000003-BA2A-47E5-99D7-7214DE84D3E5}"/>
            </c:ext>
          </c:extLst>
        </c:ser>
        <c:ser>
          <c:idx val="4"/>
          <c:order val="4"/>
          <c:tx>
            <c:strRef>
              <c:f>Sheet2!$V$1</c:f>
              <c:strCache>
                <c:ptCount val="1"/>
                <c:pt idx="0">
                  <c:v>Japan</c:v>
                </c:pt>
              </c:strCache>
            </c:strRef>
          </c:tx>
          <c:spPr>
            <a:ln w="28575" cap="rnd">
              <a:solidFill>
                <a:schemeClr val="accent5"/>
              </a:solidFill>
              <a:round/>
            </a:ln>
            <a:effectLst/>
          </c:spPr>
          <c:marker>
            <c:symbol val="none"/>
          </c:marker>
          <c:cat>
            <c:numRef>
              <c:f>Sheet2!$Q$3:$Q$39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Sheet2!$V$3:$V$39</c:f>
              <c:numCache>
                <c:formatCode>0.00</c:formatCode>
                <c:ptCount val="37"/>
                <c:pt idx="0">
                  <c:v>25</c:v>
                </c:pt>
                <c:pt idx="1">
                  <c:v>25.1</c:v>
                </c:pt>
                <c:pt idx="2">
                  <c:v>24.7</c:v>
                </c:pt>
                <c:pt idx="3">
                  <c:v>24.8</c:v>
                </c:pt>
                <c:pt idx="4">
                  <c:v>25.2</c:v>
                </c:pt>
                <c:pt idx="5">
                  <c:v>25.3</c:v>
                </c:pt>
                <c:pt idx="6">
                  <c:v>24.9</c:v>
                </c:pt>
                <c:pt idx="7">
                  <c:v>24.4</c:v>
                </c:pt>
                <c:pt idx="8">
                  <c:v>24.5</c:v>
                </c:pt>
                <c:pt idx="9">
                  <c:v>24.5</c:v>
                </c:pt>
                <c:pt idx="10">
                  <c:v>24.3</c:v>
                </c:pt>
                <c:pt idx="11">
                  <c:v>24.6</c:v>
                </c:pt>
                <c:pt idx="12">
                  <c:v>24.6</c:v>
                </c:pt>
                <c:pt idx="13">
                  <c:v>23.9</c:v>
                </c:pt>
                <c:pt idx="14">
                  <c:v>23.4</c:v>
                </c:pt>
                <c:pt idx="15">
                  <c:v>22.7</c:v>
                </c:pt>
                <c:pt idx="16">
                  <c:v>22.5</c:v>
                </c:pt>
                <c:pt idx="17">
                  <c:v>22.2</c:v>
                </c:pt>
                <c:pt idx="18">
                  <c:v>21.4</c:v>
                </c:pt>
                <c:pt idx="19">
                  <c:v>21</c:v>
                </c:pt>
                <c:pt idx="20">
                  <c:v>20.7</c:v>
                </c:pt>
                <c:pt idx="21">
                  <c:v>20.2</c:v>
                </c:pt>
                <c:pt idx="22">
                  <c:v>19.100000000000001</c:v>
                </c:pt>
                <c:pt idx="23">
                  <c:v>18.8</c:v>
                </c:pt>
                <c:pt idx="24">
                  <c:v>18.3</c:v>
                </c:pt>
                <c:pt idx="25">
                  <c:v>18.100000000000001</c:v>
                </c:pt>
                <c:pt idx="26">
                  <c:v>18.3</c:v>
                </c:pt>
                <c:pt idx="27">
                  <c:v>18.3</c:v>
                </c:pt>
                <c:pt idx="28">
                  <c:v>18.100000000000001</c:v>
                </c:pt>
                <c:pt idx="29">
                  <c:v>17.3</c:v>
                </c:pt>
                <c:pt idx="30">
                  <c:v>16.899999999999999</c:v>
                </c:pt>
                <c:pt idx="31">
                  <c:v>16.8</c:v>
                </c:pt>
                <c:pt idx="32">
                  <c:v>16.600000000000001</c:v>
                </c:pt>
                <c:pt idx="33">
                  <c:v>16.422767234698416</c:v>
                </c:pt>
                <c:pt idx="34">
                  <c:v>16.327464026606116</c:v>
                </c:pt>
                <c:pt idx="35">
                  <c:v>16.173287510739669</c:v>
                </c:pt>
                <c:pt idx="36">
                  <c:v>16.097144015924723</c:v>
                </c:pt>
              </c:numCache>
            </c:numRef>
          </c:val>
          <c:smooth val="0"/>
          <c:extLst xmlns:c16r2="http://schemas.microsoft.com/office/drawing/2015/06/chart">
            <c:ext xmlns:c16="http://schemas.microsoft.com/office/drawing/2014/chart" uri="{C3380CC4-5D6E-409C-BE32-E72D297353CC}">
              <c16:uniqueId val="{00000004-BA2A-47E5-99D7-7214DE84D3E5}"/>
            </c:ext>
          </c:extLst>
        </c:ser>
        <c:ser>
          <c:idx val="5"/>
          <c:order val="5"/>
          <c:tx>
            <c:strRef>
              <c:f>Sheet2!$W$1</c:f>
              <c:strCache>
                <c:ptCount val="1"/>
                <c:pt idx="0">
                  <c:v>Germany</c:v>
                </c:pt>
              </c:strCache>
            </c:strRef>
          </c:tx>
          <c:spPr>
            <a:ln w="28575" cap="rnd">
              <a:solidFill>
                <a:schemeClr val="accent6"/>
              </a:solidFill>
              <a:round/>
            </a:ln>
            <a:effectLst/>
          </c:spPr>
          <c:marker>
            <c:symbol val="none"/>
          </c:marker>
          <c:cat>
            <c:numRef>
              <c:f>Sheet2!$Q$3:$Q$39</c:f>
              <c:numCache>
                <c:formatCode>General</c:formatCode>
                <c:ptCount val="37"/>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numCache>
            </c:numRef>
          </c:cat>
          <c:val>
            <c:numRef>
              <c:f>Sheet2!$W$3:$W$39</c:f>
              <c:numCache>
                <c:formatCode>0.00</c:formatCode>
                <c:ptCount val="37"/>
                <c:pt idx="0">
                  <c:v>28.1</c:v>
                </c:pt>
                <c:pt idx="1">
                  <c:v>26.3</c:v>
                </c:pt>
                <c:pt idx="2">
                  <c:v>25.3</c:v>
                </c:pt>
                <c:pt idx="3">
                  <c:v>24.1</c:v>
                </c:pt>
                <c:pt idx="4">
                  <c:v>24.7</c:v>
                </c:pt>
                <c:pt idx="5">
                  <c:v>24.6</c:v>
                </c:pt>
                <c:pt idx="6">
                  <c:v>24.4</c:v>
                </c:pt>
                <c:pt idx="7">
                  <c:v>23</c:v>
                </c:pt>
                <c:pt idx="8">
                  <c:v>23.3</c:v>
                </c:pt>
                <c:pt idx="9">
                  <c:v>22.5</c:v>
                </c:pt>
                <c:pt idx="10">
                  <c:v>22.1</c:v>
                </c:pt>
                <c:pt idx="11">
                  <c:v>22.6</c:v>
                </c:pt>
                <c:pt idx="12">
                  <c:v>21.1</c:v>
                </c:pt>
                <c:pt idx="13">
                  <c:v>20.9</c:v>
                </c:pt>
                <c:pt idx="14">
                  <c:v>18.899999999999999</c:v>
                </c:pt>
                <c:pt idx="15">
                  <c:v>18.8</c:v>
                </c:pt>
                <c:pt idx="16">
                  <c:v>19.100000000000001</c:v>
                </c:pt>
                <c:pt idx="17">
                  <c:v>16.600000000000001</c:v>
                </c:pt>
                <c:pt idx="18">
                  <c:v>16.3</c:v>
                </c:pt>
                <c:pt idx="19">
                  <c:v>15.6</c:v>
                </c:pt>
                <c:pt idx="20">
                  <c:v>14.8</c:v>
                </c:pt>
                <c:pt idx="21">
                  <c:v>14.2</c:v>
                </c:pt>
                <c:pt idx="22">
                  <c:v>13.7</c:v>
                </c:pt>
                <c:pt idx="23">
                  <c:v>12.6</c:v>
                </c:pt>
                <c:pt idx="24">
                  <c:v>11.8</c:v>
                </c:pt>
                <c:pt idx="25">
                  <c:v>11.5</c:v>
                </c:pt>
                <c:pt idx="26">
                  <c:v>11.2</c:v>
                </c:pt>
                <c:pt idx="27">
                  <c:v>11.1</c:v>
                </c:pt>
                <c:pt idx="28">
                  <c:v>10.4</c:v>
                </c:pt>
                <c:pt idx="29">
                  <c:v>9.6999999999999993</c:v>
                </c:pt>
                <c:pt idx="30">
                  <c:v>9.8000000000000007</c:v>
                </c:pt>
                <c:pt idx="31">
                  <c:v>9.8000000000000007</c:v>
                </c:pt>
                <c:pt idx="32">
                  <c:v>9.8000000000000007</c:v>
                </c:pt>
                <c:pt idx="33">
                  <c:v>9.7513264448007675</c:v>
                </c:pt>
                <c:pt idx="34">
                  <c:v>9.8046935113239488</c:v>
                </c:pt>
                <c:pt idx="35">
                  <c:v>9.5909463659090015</c:v>
                </c:pt>
                <c:pt idx="36">
                  <c:v>9.456736053057254</c:v>
                </c:pt>
              </c:numCache>
            </c:numRef>
          </c:val>
          <c:smooth val="0"/>
          <c:extLst xmlns:c16r2="http://schemas.microsoft.com/office/drawing/2015/06/chart">
            <c:ext xmlns:c16="http://schemas.microsoft.com/office/drawing/2014/chart" uri="{C3380CC4-5D6E-409C-BE32-E72D297353CC}">
              <c16:uniqueId val="{00000005-BA2A-47E5-99D7-7214DE84D3E5}"/>
            </c:ext>
          </c:extLst>
        </c:ser>
        <c:dLbls>
          <c:showLegendKey val="0"/>
          <c:showVal val="0"/>
          <c:showCatName val="0"/>
          <c:showSerName val="0"/>
          <c:showPercent val="0"/>
          <c:showBubbleSize val="0"/>
        </c:dLbls>
        <c:smooth val="0"/>
        <c:axId val="276133568"/>
        <c:axId val="276134128"/>
      </c:lineChart>
      <c:catAx>
        <c:axId val="27613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6134128"/>
        <c:crosses val="autoZero"/>
        <c:auto val="1"/>
        <c:lblAlgn val="ctr"/>
        <c:lblOffset val="100"/>
        <c:tickLblSkip val="5"/>
        <c:noMultiLvlLbl val="0"/>
      </c:catAx>
      <c:valAx>
        <c:axId val="27613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613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587135881619297E-2"/>
          <c:y val="4.5157196624927516E-2"/>
          <c:w val="0.92085508517581272"/>
          <c:h val="0.84124947760776114"/>
        </c:manualLayout>
      </c:layout>
      <c:lineChart>
        <c:grouping val="standard"/>
        <c:varyColors val="0"/>
        <c:ser>
          <c:idx val="0"/>
          <c:order val="0"/>
          <c:tx>
            <c:strRef>
              <c:f>'2'!$B$9</c:f>
              <c:strCache>
                <c:ptCount val="1"/>
                <c:pt idx="0">
                  <c:v>Historical Values and 
CBO's Baseline Projections</c:v>
                </c:pt>
              </c:strCache>
            </c:strRef>
          </c:tx>
          <c:spPr>
            <a:ln w="28575" cap="rnd">
              <a:solidFill>
                <a:schemeClr val="accent1"/>
              </a:solidFill>
              <a:round/>
            </a:ln>
            <a:effectLst/>
          </c:spPr>
          <c:marker>
            <c:symbol val="none"/>
          </c:marker>
          <c:cat>
            <c:numRef>
              <c:f>'2'!$A$84:$A$97</c:f>
              <c:numCache>
                <c:formatCode>m/d/yyyy</c:formatCode>
                <c:ptCount val="14"/>
                <c:pt idx="0">
                  <c:v>41640</c:v>
                </c:pt>
                <c:pt idx="1">
                  <c:v>42005</c:v>
                </c:pt>
                <c:pt idx="2">
                  <c:v>42370</c:v>
                </c:pt>
                <c:pt idx="3">
                  <c:v>42736</c:v>
                </c:pt>
                <c:pt idx="4">
                  <c:v>43101</c:v>
                </c:pt>
                <c:pt idx="5">
                  <c:v>43466</c:v>
                </c:pt>
                <c:pt idx="6">
                  <c:v>43831</c:v>
                </c:pt>
                <c:pt idx="7">
                  <c:v>44197</c:v>
                </c:pt>
                <c:pt idx="8">
                  <c:v>44562</c:v>
                </c:pt>
                <c:pt idx="9">
                  <c:v>44927</c:v>
                </c:pt>
                <c:pt idx="10">
                  <c:v>45292</c:v>
                </c:pt>
                <c:pt idx="11">
                  <c:v>45658</c:v>
                </c:pt>
                <c:pt idx="12">
                  <c:v>46023</c:v>
                </c:pt>
                <c:pt idx="13">
                  <c:v>46388</c:v>
                </c:pt>
              </c:numCache>
            </c:numRef>
          </c:cat>
          <c:val>
            <c:numRef>
              <c:f>'2'!$B$84:$B$97</c:f>
              <c:numCache>
                <c:formatCode>0.0</c:formatCode>
                <c:ptCount val="14"/>
                <c:pt idx="0">
                  <c:v>-2.8140000000000001</c:v>
                </c:pt>
                <c:pt idx="1">
                  <c:v>-2.4489999999999998</c:v>
                </c:pt>
                <c:pt idx="2">
                  <c:v>-3.1909999999999998</c:v>
                </c:pt>
              </c:numCache>
            </c:numRef>
          </c:val>
          <c:smooth val="0"/>
        </c:ser>
        <c:ser>
          <c:idx val="1"/>
          <c:order val="1"/>
          <c:tx>
            <c:strRef>
              <c:f>'2'!$C$9</c:f>
              <c:strCache>
                <c:ptCount val="1"/>
              </c:strCache>
            </c:strRef>
          </c:tx>
          <c:spPr>
            <a:ln w="28575" cap="rnd">
              <a:solidFill>
                <a:schemeClr val="accent1"/>
              </a:solidFill>
              <a:prstDash val="dash"/>
              <a:round/>
            </a:ln>
            <a:effectLst/>
          </c:spPr>
          <c:marker>
            <c:symbol val="none"/>
          </c:marker>
          <c:cat>
            <c:numRef>
              <c:f>'2'!$A$84:$A$97</c:f>
              <c:numCache>
                <c:formatCode>m/d/yyyy</c:formatCode>
                <c:ptCount val="14"/>
                <c:pt idx="0">
                  <c:v>41640</c:v>
                </c:pt>
                <c:pt idx="1">
                  <c:v>42005</c:v>
                </c:pt>
                <c:pt idx="2">
                  <c:v>42370</c:v>
                </c:pt>
                <c:pt idx="3">
                  <c:v>42736</c:v>
                </c:pt>
                <c:pt idx="4">
                  <c:v>43101</c:v>
                </c:pt>
                <c:pt idx="5">
                  <c:v>43466</c:v>
                </c:pt>
                <c:pt idx="6">
                  <c:v>43831</c:v>
                </c:pt>
                <c:pt idx="7">
                  <c:v>44197</c:v>
                </c:pt>
                <c:pt idx="8">
                  <c:v>44562</c:v>
                </c:pt>
                <c:pt idx="9">
                  <c:v>44927</c:v>
                </c:pt>
                <c:pt idx="10">
                  <c:v>45292</c:v>
                </c:pt>
                <c:pt idx="11">
                  <c:v>45658</c:v>
                </c:pt>
                <c:pt idx="12">
                  <c:v>46023</c:v>
                </c:pt>
                <c:pt idx="13">
                  <c:v>46388</c:v>
                </c:pt>
              </c:numCache>
            </c:numRef>
          </c:cat>
          <c:val>
            <c:numRef>
              <c:f>'2'!$C$84:$C$97</c:f>
              <c:numCache>
                <c:formatCode>General</c:formatCode>
                <c:ptCount val="14"/>
                <c:pt idx="2" formatCode="0.0">
                  <c:v>-3.1909999999999998</c:v>
                </c:pt>
                <c:pt idx="3" formatCode="0.0">
                  <c:v>-2.9159999999999999</c:v>
                </c:pt>
                <c:pt idx="4" formatCode="0.0">
                  <c:v>-2.4460000000000002</c:v>
                </c:pt>
                <c:pt idx="5" formatCode="0.0">
                  <c:v>-2.9089999999999998</c:v>
                </c:pt>
                <c:pt idx="6" formatCode="0.0">
                  <c:v>-3.198</c:v>
                </c:pt>
                <c:pt idx="7" formatCode="0.0">
                  <c:v>-3.5939999999999999</c:v>
                </c:pt>
                <c:pt idx="8" formatCode="0.0">
                  <c:v>-4.165</c:v>
                </c:pt>
                <c:pt idx="9" formatCode="0.0">
                  <c:v>-4.1769999999999996</c:v>
                </c:pt>
                <c:pt idx="10" formatCode="0.0">
                  <c:v>-4.1260000000000003</c:v>
                </c:pt>
                <c:pt idx="11" formatCode="0.0">
                  <c:v>-4.5019999999999998</c:v>
                </c:pt>
                <c:pt idx="12" formatCode="0.0">
                  <c:v>-4.8179999999999996</c:v>
                </c:pt>
                <c:pt idx="13" formatCode="0.0">
                  <c:v>-5.03</c:v>
                </c:pt>
              </c:numCache>
            </c:numRef>
          </c:val>
          <c:smooth val="0"/>
        </c:ser>
        <c:dLbls>
          <c:showLegendKey val="0"/>
          <c:showVal val="0"/>
          <c:showCatName val="0"/>
          <c:showSerName val="0"/>
          <c:showPercent val="0"/>
          <c:showBubbleSize val="0"/>
        </c:dLbls>
        <c:smooth val="0"/>
        <c:axId val="276136928"/>
        <c:axId val="276137488"/>
      </c:lineChart>
      <c:dateAx>
        <c:axId val="276136928"/>
        <c:scaling>
          <c:orientation val="minMax"/>
        </c:scaling>
        <c:delete val="0"/>
        <c:axPos val="b"/>
        <c:numFmt formatCode="\'yy" sourceLinked="0"/>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76137488"/>
        <c:crosses val="autoZero"/>
        <c:auto val="0"/>
        <c:lblOffset val="100"/>
        <c:baseTimeUnit val="years"/>
        <c:majorUnit val="1"/>
        <c:majorTimeUnit val="years"/>
      </c:dateAx>
      <c:valAx>
        <c:axId val="276137488"/>
        <c:scaling>
          <c:orientation val="minMax"/>
          <c:max val="-1"/>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276136928"/>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0.49938</cdr:x>
      <cdr:y>0.27649</cdr:y>
    </cdr:from>
    <cdr:to>
      <cdr:x>0.69057</cdr:x>
      <cdr:y>0.33123</cdr:y>
    </cdr:to>
    <cdr:sp macro="" textlink="">
      <cdr:nvSpPr>
        <cdr:cNvPr id="3" name="TextBox 1"/>
        <cdr:cNvSpPr txBox="1"/>
      </cdr:nvSpPr>
      <cdr:spPr>
        <a:xfrm xmlns:a="http://schemas.openxmlformats.org/drawingml/2006/main">
          <a:off x="3781463" y="1250956"/>
          <a:ext cx="1447763" cy="2476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a:t>CBO</a:t>
          </a:r>
        </a:p>
        <a:p xmlns:a="http://schemas.openxmlformats.org/drawingml/2006/main">
          <a:pPr algn="ctr"/>
          <a:r>
            <a:rPr lang="en-US" sz="1100"/>
            <a:t>Projections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B9FC-7DE1-45B4-83BF-BC40DD20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Western &amp; Southern Financial Group</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 Nick</dc:creator>
  <cp:keywords/>
  <dc:description/>
  <cp:lastModifiedBy>Sargen, Nick</cp:lastModifiedBy>
  <cp:revision>3</cp:revision>
  <dcterms:created xsi:type="dcterms:W3CDTF">2017-11-02T19:04:00Z</dcterms:created>
  <dcterms:modified xsi:type="dcterms:W3CDTF">2017-11-02T19:08:00Z</dcterms:modified>
</cp:coreProperties>
</file>