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379C" w14:textId="4556A6BC" w:rsidR="00A142C9" w:rsidRPr="002269FA" w:rsidRDefault="00AE3B3B" w:rsidP="002269FA">
      <w:pPr>
        <w:jc w:val="center"/>
        <w:rPr>
          <w:b/>
          <w:bCs/>
        </w:rPr>
      </w:pPr>
      <w:r w:rsidRPr="002269FA">
        <w:rPr>
          <w:b/>
          <w:bCs/>
        </w:rPr>
        <w:t>NJIT Pandemic Recovery Plan</w:t>
      </w:r>
    </w:p>
    <w:p w14:paraId="28475184" w14:textId="530EF8EA" w:rsidR="00AE3B3B" w:rsidRPr="002269FA" w:rsidRDefault="00AE3B3B" w:rsidP="002269FA">
      <w:pPr>
        <w:jc w:val="center"/>
        <w:rPr>
          <w:b/>
          <w:bCs/>
        </w:rPr>
      </w:pPr>
    </w:p>
    <w:p w14:paraId="1AE0FF44" w14:textId="0C50C6C7" w:rsidR="00AE3B3B" w:rsidRPr="00D6451C" w:rsidRDefault="00AE3B3B" w:rsidP="00D6451C">
      <w:pPr>
        <w:jc w:val="center"/>
        <w:rPr>
          <w:b/>
          <w:bCs/>
        </w:rPr>
      </w:pPr>
      <w:r w:rsidRPr="002269FA">
        <w:rPr>
          <w:b/>
          <w:bCs/>
        </w:rPr>
        <w:t xml:space="preserve">Research Continuity </w:t>
      </w:r>
      <w:r w:rsidR="00FE309B">
        <w:rPr>
          <w:b/>
          <w:bCs/>
        </w:rPr>
        <w:t xml:space="preserve">and </w:t>
      </w:r>
      <w:r w:rsidR="00D6451C">
        <w:rPr>
          <w:b/>
          <w:bCs/>
        </w:rPr>
        <w:t xml:space="preserve">Phased </w:t>
      </w:r>
      <w:r w:rsidR="00FE309B">
        <w:rPr>
          <w:b/>
          <w:bCs/>
        </w:rPr>
        <w:t xml:space="preserve">Recovery </w:t>
      </w:r>
      <w:r w:rsidRPr="002269FA">
        <w:rPr>
          <w:b/>
          <w:bCs/>
        </w:rPr>
        <w:t xml:space="preserve">Plan </w:t>
      </w:r>
    </w:p>
    <w:p w14:paraId="3C86A139" w14:textId="320395D8" w:rsidR="00B42CCC" w:rsidRPr="00D6451C" w:rsidRDefault="0036725F" w:rsidP="006D00B9">
      <w:pPr>
        <w:jc w:val="center"/>
      </w:pPr>
      <w:r w:rsidRPr="00D6451C">
        <w:rPr>
          <w:b/>
          <w:bCs/>
        </w:rPr>
        <w:t xml:space="preserve">Guidelines </w:t>
      </w:r>
      <w:r>
        <w:rPr>
          <w:b/>
          <w:bCs/>
        </w:rPr>
        <w:t xml:space="preserve">and Protocols: </w:t>
      </w:r>
      <w:r w:rsidR="00D6451C" w:rsidRPr="00D6451C">
        <w:rPr>
          <w:b/>
          <w:bCs/>
        </w:rPr>
        <w:t>Phase-1 Minimal Research Operations</w:t>
      </w:r>
      <w:r w:rsidR="00D6451C">
        <w:t xml:space="preserve"> </w:t>
      </w:r>
    </w:p>
    <w:p w14:paraId="77368078" w14:textId="77777777" w:rsidR="00447686" w:rsidRDefault="00447686" w:rsidP="00791AC4">
      <w:pPr>
        <w:jc w:val="both"/>
        <w:rPr>
          <w:rFonts w:ascii="Times New Roman" w:hAnsi="Times New Roman"/>
          <w:bCs/>
        </w:rPr>
      </w:pPr>
    </w:p>
    <w:p w14:paraId="636D0292" w14:textId="77777777" w:rsidR="001C472D" w:rsidRPr="00A47301" w:rsidRDefault="00582DC0" w:rsidP="001C472D">
      <w:pPr>
        <w:jc w:val="both"/>
        <w:rPr>
          <w:rFonts w:ascii="Times New Roman" w:hAnsi="Times New Roman" w:cs="Times New Roman"/>
          <w:bCs/>
        </w:rPr>
      </w:pPr>
      <w:r w:rsidRPr="00582DC0">
        <w:rPr>
          <w:rFonts w:ascii="Times New Roman" w:hAnsi="Times New Roman"/>
          <w:bCs/>
        </w:rPr>
        <w:t xml:space="preserve">NJIT faculty, staff, and students at research facilities must follow the specific social distancing and safety protocols including the use of personnel protective equipment (PPE) as required by the institutional, state and federal guidelines in the respective phase of the research continuity plan. </w:t>
      </w:r>
      <w:r w:rsidR="001C472D" w:rsidRPr="00A47301">
        <w:rPr>
          <w:rFonts w:ascii="Times New Roman" w:hAnsi="Times New Roman" w:cs="Times New Roman"/>
          <w:bCs/>
        </w:rPr>
        <w:t>State and national information regarding current conditions can be found at:</w:t>
      </w:r>
    </w:p>
    <w:p w14:paraId="680892D9" w14:textId="77777777" w:rsidR="001C472D" w:rsidRPr="00A47301" w:rsidRDefault="001C472D" w:rsidP="001C472D">
      <w:pPr>
        <w:numPr>
          <w:ilvl w:val="0"/>
          <w:numId w:val="11"/>
        </w:numPr>
        <w:rPr>
          <w:rFonts w:ascii="Times New Roman" w:hAnsi="Times New Roman" w:cs="Times New Roman"/>
          <w:bCs/>
        </w:rPr>
      </w:pPr>
      <w:r w:rsidRPr="00A47301">
        <w:rPr>
          <w:rFonts w:ascii="Times New Roman" w:hAnsi="Times New Roman" w:cs="Times New Roman"/>
        </w:rPr>
        <w:t xml:space="preserve">New Jersey’s COVID-19 information hub: </w:t>
      </w:r>
      <w:hyperlink r:id="rId8" w:history="1">
        <w:r w:rsidRPr="00A47301">
          <w:rPr>
            <w:rStyle w:val="Hyperlink"/>
            <w:rFonts w:ascii="Times New Roman" w:hAnsi="Times New Roman" w:cs="Times New Roman"/>
          </w:rPr>
          <w:t>https://covid19.nj.gov/index.html</w:t>
        </w:r>
      </w:hyperlink>
    </w:p>
    <w:p w14:paraId="2BF679AE" w14:textId="14BBEFE3" w:rsidR="001C472D" w:rsidRPr="001C472D" w:rsidRDefault="001C472D" w:rsidP="001C472D">
      <w:pPr>
        <w:numPr>
          <w:ilvl w:val="0"/>
          <w:numId w:val="11"/>
        </w:numPr>
        <w:rPr>
          <w:rFonts w:ascii="Times New Roman" w:hAnsi="Times New Roman" w:cs="Times New Roman"/>
          <w:bCs/>
        </w:rPr>
      </w:pPr>
      <w:r w:rsidRPr="00A47301">
        <w:rPr>
          <w:rFonts w:ascii="Times New Roman" w:hAnsi="Times New Roman" w:cs="Times New Roman"/>
        </w:rPr>
        <w:t xml:space="preserve">White House Plan for Opening up America Again: </w:t>
      </w:r>
      <w:hyperlink r:id="rId9" w:history="1">
        <w:r w:rsidRPr="00A47301">
          <w:rPr>
            <w:rStyle w:val="Hyperlink"/>
            <w:rFonts w:ascii="Times New Roman" w:hAnsi="Times New Roman" w:cs="Times New Roman"/>
          </w:rPr>
          <w:t>https://www.whitehouse.gov/wp-content/uploads/2020/04/Guidelines-for-Opening-Up-America-Again.pdf</w:t>
        </w:r>
      </w:hyperlink>
      <w:r w:rsidRPr="00A47301">
        <w:rPr>
          <w:rFonts w:ascii="Times New Roman" w:hAnsi="Times New Roman" w:cs="Times New Roman"/>
        </w:rPr>
        <w:t xml:space="preserve"> </w:t>
      </w:r>
    </w:p>
    <w:p w14:paraId="4F50100C" w14:textId="77777777" w:rsidR="001C472D" w:rsidRDefault="001C472D" w:rsidP="001C472D">
      <w:pPr>
        <w:pStyle w:val="ListParagraph"/>
        <w:numPr>
          <w:ilvl w:val="0"/>
          <w:numId w:val="11"/>
        </w:numPr>
      </w:pPr>
      <w:r w:rsidRPr="001C472D">
        <w:rPr>
          <w:rFonts w:ascii="Times New Roman" w:hAnsi="Times New Roman" w:cs="Times New Roman"/>
        </w:rPr>
        <w:t xml:space="preserve">CDC guidelines on “Symptoms of Coronavirus”: </w:t>
      </w:r>
      <w:hyperlink r:id="rId10" w:history="1">
        <w:r>
          <w:rPr>
            <w:rStyle w:val="Hyperlink"/>
          </w:rPr>
          <w:t>https://www.cdc.gov/coronavirus/2019-ncov/symptoms-testing/symptoms.html</w:t>
        </w:r>
      </w:hyperlink>
    </w:p>
    <w:p w14:paraId="05D4F406" w14:textId="4793D7EA" w:rsidR="00582DC0" w:rsidRPr="001C472D" w:rsidRDefault="001C472D" w:rsidP="001C472D">
      <w:pPr>
        <w:pStyle w:val="ListParagraph"/>
        <w:numPr>
          <w:ilvl w:val="0"/>
          <w:numId w:val="11"/>
        </w:numPr>
      </w:pPr>
      <w:r w:rsidRPr="001C472D">
        <w:rPr>
          <w:rFonts w:ascii="Times New Roman" w:hAnsi="Times New Roman" w:cs="Times New Roman"/>
        </w:rPr>
        <w:t xml:space="preserve">CDC guidelines on “Use of Cloth Face Coverings to Help Slow the Spread of COVID-19”: </w:t>
      </w:r>
      <w:hyperlink r:id="rId11" w:history="1">
        <w:r>
          <w:rPr>
            <w:rStyle w:val="Hyperlink"/>
          </w:rPr>
          <w:t>https://www.cdc.gov/coronavirus/2019-ncov/prevent-getting-sick/diy-cloth-face-coverings.html</w:t>
        </w:r>
      </w:hyperlink>
    </w:p>
    <w:p w14:paraId="4DD6342D" w14:textId="77777777" w:rsidR="00582DC0" w:rsidRDefault="00582DC0" w:rsidP="00791AC4">
      <w:pPr>
        <w:jc w:val="both"/>
        <w:rPr>
          <w:rFonts w:ascii="Times New Roman" w:hAnsi="Times New Roman"/>
          <w:bCs/>
        </w:rPr>
      </w:pPr>
    </w:p>
    <w:p w14:paraId="446165E3" w14:textId="678933A6" w:rsidR="00791AC4" w:rsidRPr="00D6451C" w:rsidRDefault="00F86D61" w:rsidP="00D6451C">
      <w:pPr>
        <w:jc w:val="both"/>
      </w:pPr>
      <w:r>
        <w:rPr>
          <w:rFonts w:ascii="Times New Roman" w:hAnsi="Times New Roman"/>
          <w:bCs/>
        </w:rPr>
        <w:t xml:space="preserve">For </w:t>
      </w:r>
      <w:r w:rsidR="00D6451C">
        <w:rPr>
          <w:rFonts w:ascii="Times New Roman" w:hAnsi="Times New Roman"/>
          <w:bCs/>
        </w:rPr>
        <w:t xml:space="preserve">Phase-1 Research Recovery Plan </w:t>
      </w:r>
      <w:r>
        <w:rPr>
          <w:rFonts w:ascii="Times New Roman" w:hAnsi="Times New Roman"/>
          <w:bCs/>
        </w:rPr>
        <w:t>with</w:t>
      </w:r>
      <w:r w:rsidR="00D6451C">
        <w:rPr>
          <w:rFonts w:ascii="Times New Roman" w:hAnsi="Times New Roman"/>
          <w:bCs/>
        </w:rPr>
        <w:t xml:space="preserve"> minimal research operations, t</w:t>
      </w:r>
      <w:r w:rsidR="00791AC4" w:rsidRPr="00C65ED5">
        <w:rPr>
          <w:rFonts w:ascii="Times New Roman" w:hAnsi="Times New Roman"/>
          <w:bCs/>
        </w:rPr>
        <w:t xml:space="preserve">he following </w:t>
      </w:r>
      <w:r w:rsidR="00791AC4">
        <w:rPr>
          <w:rFonts w:ascii="Times New Roman" w:hAnsi="Times New Roman"/>
          <w:bCs/>
        </w:rPr>
        <w:t xml:space="preserve">protocols and </w:t>
      </w:r>
      <w:r w:rsidR="00791AC4" w:rsidRPr="00C65ED5">
        <w:rPr>
          <w:rFonts w:ascii="Times New Roman" w:hAnsi="Times New Roman"/>
          <w:bCs/>
        </w:rPr>
        <w:t>guidelines should be adapted</w:t>
      </w:r>
      <w:r w:rsidR="00D6451C">
        <w:rPr>
          <w:rFonts w:ascii="Times New Roman" w:hAnsi="Times New Roman"/>
          <w:bCs/>
        </w:rPr>
        <w:t>. Faculty requesting Phase-1 minimal research operations as defined below should submit the PRO-1</w:t>
      </w:r>
      <w:r w:rsidR="00D6451C">
        <w:t xml:space="preserve"> </w:t>
      </w:r>
      <w:r w:rsidR="00D6451C">
        <w:rPr>
          <w:rFonts w:ascii="Times New Roman" w:hAnsi="Times New Roman"/>
          <w:bCs/>
        </w:rPr>
        <w:t xml:space="preserve">approval </w:t>
      </w:r>
      <w:r w:rsidR="00BF7292">
        <w:rPr>
          <w:rFonts w:ascii="Times New Roman" w:hAnsi="Times New Roman"/>
          <w:bCs/>
        </w:rPr>
        <w:t xml:space="preserve">form (posted on the research website </w:t>
      </w:r>
      <w:hyperlink r:id="rId12" w:history="1">
        <w:r w:rsidR="00BF7292">
          <w:rPr>
            <w:rStyle w:val="Hyperlink"/>
          </w:rPr>
          <w:t>https://research.njit.edu/njit-pandemic-recovery-plan</w:t>
        </w:r>
      </w:hyperlink>
      <w:r w:rsidR="00BF7292">
        <w:t xml:space="preserve">) </w:t>
      </w:r>
      <w:r w:rsidR="00D6451C">
        <w:rPr>
          <w:rFonts w:ascii="Times New Roman" w:hAnsi="Times New Roman"/>
          <w:bCs/>
        </w:rPr>
        <w:t xml:space="preserve">through </w:t>
      </w:r>
      <w:r w:rsidR="00BF7292">
        <w:rPr>
          <w:rFonts w:ascii="Times New Roman" w:hAnsi="Times New Roman"/>
          <w:bCs/>
        </w:rPr>
        <w:t xml:space="preserve">the </w:t>
      </w:r>
      <w:r w:rsidR="00D6451C">
        <w:rPr>
          <w:rFonts w:ascii="Times New Roman" w:hAnsi="Times New Roman"/>
          <w:bCs/>
        </w:rPr>
        <w:t xml:space="preserve">department chair and college dean to the office of research </w:t>
      </w:r>
      <w:r w:rsidR="00BF7292">
        <w:rPr>
          <w:rFonts w:ascii="Times New Roman" w:hAnsi="Times New Roman"/>
          <w:bCs/>
        </w:rPr>
        <w:t xml:space="preserve">at </w:t>
      </w:r>
      <w:hyperlink r:id="rId13" w:history="1">
        <w:r w:rsidR="00BF7292" w:rsidRPr="001F4E3F">
          <w:rPr>
            <w:rStyle w:val="Hyperlink"/>
            <w:rFonts w:ascii="Times New Roman" w:hAnsi="Times New Roman"/>
            <w:bCs/>
          </w:rPr>
          <w:t>dhawan@njit.edu</w:t>
        </w:r>
      </w:hyperlink>
      <w:r w:rsidR="00D6451C">
        <w:rPr>
          <w:rFonts w:ascii="Times New Roman" w:hAnsi="Times New Roman"/>
          <w:bCs/>
        </w:rPr>
        <w:t xml:space="preserve">. </w:t>
      </w:r>
      <w:r w:rsidR="00791AC4" w:rsidRPr="00C65ED5">
        <w:rPr>
          <w:rFonts w:ascii="Times New Roman" w:hAnsi="Times New Roman"/>
          <w:bCs/>
        </w:rPr>
        <w:t xml:space="preserve"> </w:t>
      </w:r>
    </w:p>
    <w:p w14:paraId="177434BE" w14:textId="77777777" w:rsidR="00577487" w:rsidRDefault="00577487" w:rsidP="00791AC4">
      <w:pPr>
        <w:jc w:val="both"/>
        <w:rPr>
          <w:rFonts w:ascii="Times New Roman" w:eastAsia="Times New Roman" w:hAnsi="Times New Roman" w:cs="Times New Roman"/>
          <w:b/>
          <w:bCs/>
        </w:rPr>
      </w:pPr>
    </w:p>
    <w:p w14:paraId="6FBE3683" w14:textId="1E2BF574" w:rsidR="00791AC4" w:rsidRPr="00C65ED5" w:rsidRDefault="00791AC4" w:rsidP="00791AC4">
      <w:pPr>
        <w:jc w:val="both"/>
        <w:rPr>
          <w:rFonts w:ascii="Times New Roman" w:eastAsia="Times New Roman" w:hAnsi="Times New Roman" w:cs="Times New Roman"/>
        </w:rPr>
      </w:pPr>
      <w:r w:rsidRPr="00C65ED5">
        <w:rPr>
          <w:rFonts w:ascii="Times New Roman" w:eastAsia="Times New Roman" w:hAnsi="Times New Roman" w:cs="Times New Roman"/>
          <w:b/>
          <w:bCs/>
        </w:rPr>
        <w:t>Recovery Phase</w:t>
      </w:r>
      <w:r>
        <w:rPr>
          <w:rFonts w:ascii="Times New Roman" w:eastAsia="Times New Roman" w:hAnsi="Times New Roman" w:cs="Times New Roman"/>
          <w:b/>
          <w:bCs/>
        </w:rPr>
        <w:t>-</w:t>
      </w:r>
      <w:r w:rsidRPr="00C65ED5">
        <w:rPr>
          <w:rFonts w:ascii="Times New Roman" w:eastAsia="Times New Roman" w:hAnsi="Times New Roman" w:cs="Times New Roman"/>
          <w:b/>
          <w:bCs/>
        </w:rPr>
        <w:t>1</w:t>
      </w:r>
      <w:r>
        <w:rPr>
          <w:rFonts w:ascii="Times New Roman" w:eastAsia="Times New Roman" w:hAnsi="Times New Roman" w:cs="Times New Roman"/>
          <w:b/>
          <w:bCs/>
        </w:rPr>
        <w:t xml:space="preserve"> Protocol</w:t>
      </w:r>
      <w:r w:rsidRPr="00C65ED5">
        <w:rPr>
          <w:rFonts w:ascii="Times New Roman" w:eastAsia="Times New Roman" w:hAnsi="Times New Roman" w:cs="Times New Roman"/>
        </w:rPr>
        <w:t xml:space="preserve">: Minimal research operations approved through chairs, deans and senior vice provost for research to pursue time-sensitive </w:t>
      </w:r>
      <w:r>
        <w:rPr>
          <w:rFonts w:ascii="Times New Roman" w:eastAsia="Times New Roman" w:hAnsi="Times New Roman" w:cs="Times New Roman"/>
        </w:rPr>
        <w:t xml:space="preserve">priority </w:t>
      </w:r>
      <w:r w:rsidRPr="00C65ED5">
        <w:rPr>
          <w:rFonts w:ascii="Times New Roman" w:eastAsia="Times New Roman" w:hAnsi="Times New Roman" w:cs="Times New Roman"/>
        </w:rPr>
        <w:t xml:space="preserve">research </w:t>
      </w:r>
      <w:r>
        <w:rPr>
          <w:rFonts w:ascii="Times New Roman" w:eastAsia="Times New Roman" w:hAnsi="Times New Roman" w:cs="Times New Roman"/>
        </w:rPr>
        <w:t xml:space="preserve">such as projects related to COVID-19 response; approved Essential Research Operation (ERO) plans in Phase-0; long-term research experiments with cell-lines, animals, and human subjects that were already underway before Phase-0; grants and contracts expiring within six months; </w:t>
      </w:r>
      <w:r w:rsidRPr="00B23A51">
        <w:rPr>
          <w:rFonts w:ascii="Times New Roman" w:eastAsia="Times New Roman" w:hAnsi="Times New Roman" w:cs="Times New Roman"/>
        </w:rPr>
        <w:t>submission of proposals in response to special solicitations</w:t>
      </w:r>
      <w:r>
        <w:rPr>
          <w:rFonts w:ascii="Times New Roman" w:eastAsia="Times New Roman" w:hAnsi="Times New Roman" w:cs="Times New Roman"/>
        </w:rPr>
        <w:t xml:space="preserve"> (Requests for Proposals);</w:t>
      </w:r>
      <w:r w:rsidRPr="00C65ED5">
        <w:rPr>
          <w:rFonts w:ascii="Times New Roman" w:eastAsia="Times New Roman" w:hAnsi="Times New Roman" w:cs="Times New Roman"/>
        </w:rPr>
        <w:t xml:space="preserve"> and </w:t>
      </w:r>
      <w:r>
        <w:rPr>
          <w:rFonts w:ascii="Times New Roman" w:eastAsia="Times New Roman" w:hAnsi="Times New Roman" w:cs="Times New Roman"/>
        </w:rPr>
        <w:t xml:space="preserve">projects </w:t>
      </w:r>
      <w:r w:rsidRPr="00C65ED5">
        <w:rPr>
          <w:rFonts w:ascii="Times New Roman" w:eastAsia="Times New Roman" w:hAnsi="Times New Roman" w:cs="Times New Roman"/>
        </w:rPr>
        <w:t>involving students with graduation requirements.</w:t>
      </w:r>
    </w:p>
    <w:p w14:paraId="6F3E353A" w14:textId="77777777" w:rsidR="00791AC4" w:rsidRPr="00180DEB" w:rsidRDefault="00791AC4" w:rsidP="00791AC4">
      <w:pPr>
        <w:pStyle w:val="ListParagraph"/>
        <w:numPr>
          <w:ilvl w:val="0"/>
          <w:numId w:val="2"/>
        </w:numPr>
        <w:jc w:val="both"/>
        <w:rPr>
          <w:rFonts w:ascii="Times New Roman" w:eastAsia="Times New Roman" w:hAnsi="Times New Roman" w:cs="Times New Roman"/>
        </w:rPr>
      </w:pPr>
      <w:r w:rsidRPr="00C65ED5">
        <w:rPr>
          <w:rFonts w:ascii="Times New Roman" w:eastAsia="Times New Roman" w:hAnsi="Times New Roman" w:cs="Times New Roman"/>
        </w:rPr>
        <w:t>Requests for projects considered time-sensitive should be directed to departmental chairs.  The dean and senior vice provost for research will provide guidance as needed.</w:t>
      </w:r>
    </w:p>
    <w:p w14:paraId="408CD2CE" w14:textId="77777777" w:rsidR="00791AC4" w:rsidRPr="00C65ED5" w:rsidRDefault="00791AC4" w:rsidP="00791AC4">
      <w:pPr>
        <w:pStyle w:val="ListParagraph"/>
        <w:numPr>
          <w:ilvl w:val="0"/>
          <w:numId w:val="2"/>
        </w:numPr>
        <w:jc w:val="both"/>
        <w:rPr>
          <w:rFonts w:ascii="Times New Roman" w:eastAsia="Times New Roman" w:hAnsi="Times New Roman" w:cs="Times New Roman"/>
        </w:rPr>
      </w:pPr>
      <w:r w:rsidRPr="00C65ED5">
        <w:rPr>
          <w:rFonts w:ascii="Times New Roman" w:eastAsia="Times New Roman" w:hAnsi="Times New Roman" w:cs="Times New Roman"/>
        </w:rPr>
        <w:t xml:space="preserve">All research operations at NJIT facilities in this phase must follow the highest possible level of social distancing implemented. </w:t>
      </w:r>
    </w:p>
    <w:p w14:paraId="757FEF7E" w14:textId="4408CAEE" w:rsidR="00791AC4" w:rsidRDefault="00791AC4" w:rsidP="00791AC4">
      <w:pPr>
        <w:pStyle w:val="ListParagraph"/>
        <w:numPr>
          <w:ilvl w:val="0"/>
          <w:numId w:val="2"/>
        </w:numPr>
        <w:jc w:val="both"/>
        <w:rPr>
          <w:rFonts w:ascii="Times New Roman" w:eastAsia="Times New Roman" w:hAnsi="Times New Roman" w:cs="Times New Roman"/>
        </w:rPr>
      </w:pPr>
      <w:r w:rsidRPr="00C65ED5">
        <w:rPr>
          <w:rFonts w:ascii="Times New Roman" w:eastAsia="Times New Roman" w:hAnsi="Times New Roman" w:cs="Times New Roman"/>
        </w:rPr>
        <w:t xml:space="preserve">Research </w:t>
      </w:r>
      <w:r>
        <w:rPr>
          <w:rFonts w:ascii="Times New Roman" w:eastAsia="Times New Roman" w:hAnsi="Times New Roman" w:cs="Times New Roman"/>
        </w:rPr>
        <w:t xml:space="preserve">that can be conducted remotely </w:t>
      </w:r>
      <w:r w:rsidRPr="00C65ED5">
        <w:rPr>
          <w:rFonts w:ascii="Times New Roman" w:eastAsia="Times New Roman" w:hAnsi="Times New Roman" w:cs="Times New Roman"/>
        </w:rPr>
        <w:t>should be continued to the extent possible.</w:t>
      </w:r>
    </w:p>
    <w:p w14:paraId="205DE69A" w14:textId="0E711663" w:rsidR="00791AC4" w:rsidRDefault="00791AC4" w:rsidP="00791AC4">
      <w:pPr>
        <w:jc w:val="both"/>
        <w:rPr>
          <w:rFonts w:ascii="Times New Roman" w:eastAsia="Times New Roman" w:hAnsi="Times New Roman" w:cs="Times New Roman"/>
        </w:rPr>
      </w:pPr>
    </w:p>
    <w:p w14:paraId="2374886B" w14:textId="46B9C9B5" w:rsidR="00791AC4" w:rsidRPr="00791AC4" w:rsidRDefault="00791AC4" w:rsidP="00791AC4">
      <w:pPr>
        <w:jc w:val="both"/>
        <w:rPr>
          <w:rFonts w:ascii="Times New Roman" w:eastAsia="Times New Roman" w:hAnsi="Times New Roman" w:cs="Times New Roman"/>
          <w:u w:val="single"/>
        </w:rPr>
      </w:pPr>
      <w:r w:rsidRPr="00791AC4">
        <w:rPr>
          <w:rFonts w:ascii="Times New Roman" w:eastAsia="Times New Roman" w:hAnsi="Times New Roman" w:cs="Times New Roman"/>
          <w:u w:val="single"/>
        </w:rPr>
        <w:t>Recovery Phase</w:t>
      </w:r>
      <w:r w:rsidR="00A822AC">
        <w:rPr>
          <w:rFonts w:ascii="Times New Roman" w:eastAsia="Times New Roman" w:hAnsi="Times New Roman" w:cs="Times New Roman"/>
          <w:u w:val="single"/>
        </w:rPr>
        <w:t>-</w:t>
      </w:r>
      <w:r w:rsidRPr="00791AC4">
        <w:rPr>
          <w:rFonts w:ascii="Times New Roman" w:eastAsia="Times New Roman" w:hAnsi="Times New Roman" w:cs="Times New Roman"/>
          <w:u w:val="single"/>
        </w:rPr>
        <w:t>1</w:t>
      </w:r>
      <w:r w:rsidRPr="00791AC4">
        <w:rPr>
          <w:rFonts w:ascii="Times New Roman" w:eastAsia="Times New Roman" w:hAnsi="Times New Roman" w:cs="Times New Roman"/>
          <w:b/>
          <w:bCs/>
          <w:u w:val="single"/>
        </w:rPr>
        <w:t xml:space="preserve"> </w:t>
      </w:r>
      <w:r w:rsidRPr="00791AC4">
        <w:rPr>
          <w:rFonts w:ascii="Times New Roman" w:eastAsia="Times New Roman" w:hAnsi="Times New Roman" w:cs="Times New Roman"/>
          <w:u w:val="single"/>
        </w:rPr>
        <w:t>Implementation Guidelines:</w:t>
      </w:r>
    </w:p>
    <w:p w14:paraId="78342E89" w14:textId="04EA3D27" w:rsidR="00791AC4" w:rsidRDefault="00791AC4" w:rsidP="00791AC4">
      <w:pPr>
        <w:jc w:val="both"/>
        <w:rPr>
          <w:rFonts w:ascii="Times New Roman" w:eastAsia="Times New Roman" w:hAnsi="Times New Roman" w:cs="Times New Roman"/>
        </w:rPr>
      </w:pPr>
    </w:p>
    <w:p w14:paraId="2938AC8E" w14:textId="2F1848C7" w:rsidR="00791AC4" w:rsidRDefault="005747B0" w:rsidP="00791AC4">
      <w:pPr>
        <w:jc w:val="both"/>
        <w:rPr>
          <w:rFonts w:ascii="Times New Roman" w:eastAsia="Times New Roman" w:hAnsi="Times New Roman" w:cs="Times New Roman"/>
        </w:rPr>
      </w:pPr>
      <w:r>
        <w:rPr>
          <w:rFonts w:ascii="Times New Roman" w:eastAsia="Times New Roman" w:hAnsi="Times New Roman" w:cs="Times New Roman"/>
        </w:rPr>
        <w:t>T</w:t>
      </w:r>
      <w:r w:rsidR="00791AC4">
        <w:rPr>
          <w:rFonts w:ascii="Times New Roman" w:eastAsia="Times New Roman" w:hAnsi="Times New Roman" w:cs="Times New Roman"/>
        </w:rPr>
        <w:t>he minimal research operations including all approved essential research operation</w:t>
      </w:r>
      <w:r>
        <w:rPr>
          <w:rFonts w:ascii="Times New Roman" w:eastAsia="Times New Roman" w:hAnsi="Times New Roman" w:cs="Times New Roman"/>
        </w:rPr>
        <w:t xml:space="preserve"> (ERO) plans</w:t>
      </w:r>
      <w:r w:rsidR="00791AC4">
        <w:rPr>
          <w:rFonts w:ascii="Times New Roman" w:eastAsia="Times New Roman" w:hAnsi="Times New Roman" w:cs="Times New Roman"/>
        </w:rPr>
        <w:t xml:space="preserve"> approved in Phase-0 and time-sensitive research non-essential research operations (approved through chair, dean and research offices) </w:t>
      </w:r>
      <w:r>
        <w:rPr>
          <w:rFonts w:ascii="Times New Roman" w:eastAsia="Times New Roman" w:hAnsi="Times New Roman" w:cs="Times New Roman"/>
        </w:rPr>
        <w:t>should be</w:t>
      </w:r>
      <w:r w:rsidR="00791AC4">
        <w:rPr>
          <w:rFonts w:ascii="Times New Roman" w:eastAsia="Times New Roman" w:hAnsi="Times New Roman" w:cs="Times New Roman"/>
        </w:rPr>
        <w:t xml:space="preserve"> restored</w:t>
      </w:r>
      <w:r>
        <w:rPr>
          <w:rFonts w:ascii="Times New Roman" w:eastAsia="Times New Roman" w:hAnsi="Times New Roman" w:cs="Times New Roman"/>
        </w:rPr>
        <w:t xml:space="preserve">. All </w:t>
      </w:r>
      <w:r w:rsidR="00791AC4">
        <w:rPr>
          <w:rFonts w:ascii="Times New Roman" w:eastAsia="Times New Roman" w:hAnsi="Times New Roman" w:cs="Times New Roman"/>
        </w:rPr>
        <w:t>social distancing and safety protocols must be strictly followed in research labs as follows</w:t>
      </w:r>
      <w:r w:rsidR="00E926E4">
        <w:rPr>
          <w:rFonts w:ascii="Times New Roman" w:eastAsia="Times New Roman" w:hAnsi="Times New Roman" w:cs="Times New Roman"/>
        </w:rPr>
        <w:t>.</w:t>
      </w:r>
    </w:p>
    <w:p w14:paraId="0143DC0A" w14:textId="235D173F" w:rsidR="00791AC4" w:rsidRDefault="00791AC4" w:rsidP="00791AC4">
      <w:pPr>
        <w:jc w:val="both"/>
        <w:rPr>
          <w:rFonts w:ascii="Times New Roman" w:eastAsia="Times New Roman" w:hAnsi="Times New Roman" w:cs="Times New Roman"/>
        </w:rPr>
      </w:pPr>
    </w:p>
    <w:p w14:paraId="6149D7BA" w14:textId="2BFE40B2" w:rsidR="002E4510" w:rsidRPr="002E4510" w:rsidRDefault="002E4510" w:rsidP="00791AC4">
      <w:pPr>
        <w:pStyle w:val="ListParagraph"/>
        <w:numPr>
          <w:ilvl w:val="0"/>
          <w:numId w:val="7"/>
        </w:numPr>
        <w:jc w:val="both"/>
        <w:rPr>
          <w:rFonts w:ascii="Times New Roman" w:eastAsia="Times New Roman" w:hAnsi="Times New Roman" w:cs="Times New Roman"/>
        </w:rPr>
      </w:pPr>
      <w:r w:rsidRPr="002E4510">
        <w:rPr>
          <w:rFonts w:ascii="Times New Roman" w:eastAsia="Times New Roman" w:hAnsi="Times New Roman" w:cs="Times New Roman"/>
          <w:b/>
          <w:bCs/>
        </w:rPr>
        <w:t xml:space="preserve">Phase-1 Research </w:t>
      </w:r>
      <w:r w:rsidR="005747B0">
        <w:rPr>
          <w:rFonts w:ascii="Times New Roman" w:eastAsia="Times New Roman" w:hAnsi="Times New Roman" w:cs="Times New Roman"/>
          <w:b/>
          <w:bCs/>
        </w:rPr>
        <w:t xml:space="preserve">Operation (PRO-1) Plan </w:t>
      </w:r>
      <w:r w:rsidRPr="002E4510">
        <w:rPr>
          <w:rFonts w:ascii="Times New Roman" w:eastAsia="Times New Roman" w:hAnsi="Times New Roman" w:cs="Times New Roman"/>
          <w:b/>
          <w:bCs/>
        </w:rPr>
        <w:t>Approval</w:t>
      </w:r>
      <w:r w:rsidR="005747B0">
        <w:rPr>
          <w:rFonts w:ascii="Times New Roman" w:eastAsia="Times New Roman" w:hAnsi="Times New Roman" w:cs="Times New Roman"/>
          <w:b/>
          <w:bCs/>
        </w:rPr>
        <w:t xml:space="preserve">: </w:t>
      </w:r>
      <w:r w:rsidR="005747B0" w:rsidRPr="005747B0">
        <w:rPr>
          <w:rFonts w:ascii="Times New Roman" w:eastAsia="Times New Roman" w:hAnsi="Times New Roman" w:cs="Times New Roman"/>
        </w:rPr>
        <w:t>(Initiated by faculty/PI; approved by chair, dean and senior vice provost for research)</w:t>
      </w:r>
      <w:r w:rsidRPr="005747B0">
        <w:rPr>
          <w:rFonts w:ascii="Times New Roman" w:eastAsia="Times New Roman" w:hAnsi="Times New Roman" w:cs="Times New Roman"/>
        </w:rPr>
        <w:t>:</w:t>
      </w:r>
      <w:r>
        <w:rPr>
          <w:rFonts w:ascii="Times New Roman" w:eastAsia="Times New Roman" w:hAnsi="Times New Roman" w:cs="Times New Roman"/>
        </w:rPr>
        <w:t xml:space="preserve"> The faculty who have submitted ERO plans for Phase-0 do not need to resubmit their project descriptions as long as there are no </w:t>
      </w:r>
      <w:r>
        <w:rPr>
          <w:rFonts w:ascii="Times New Roman" w:eastAsia="Times New Roman" w:hAnsi="Times New Roman" w:cs="Times New Roman"/>
        </w:rPr>
        <w:lastRenderedPageBreak/>
        <w:t xml:space="preserve">significant changes in research operations and social distancing and safety protocols are followed. Additional time-sensitive non-essential research operation plans as defined above should be submitted following the Phase-1 Research Operation (PRO-1) form </w:t>
      </w:r>
      <w:r w:rsidR="0036725F">
        <w:rPr>
          <w:rFonts w:ascii="Times New Roman" w:eastAsia="Times New Roman" w:hAnsi="Times New Roman" w:cs="Times New Roman"/>
        </w:rPr>
        <w:t xml:space="preserve">  </w:t>
      </w:r>
      <w:r>
        <w:rPr>
          <w:rFonts w:ascii="Times New Roman" w:eastAsia="Times New Roman" w:hAnsi="Times New Roman" w:cs="Times New Roman"/>
        </w:rPr>
        <w:t xml:space="preserve">to department chair and college dean for their approvals and forwarding to the research office for institutional approval. </w:t>
      </w:r>
      <w:r w:rsidR="0036725F">
        <w:rPr>
          <w:rFonts w:ascii="Times New Roman" w:eastAsia="Times New Roman" w:hAnsi="Times New Roman" w:cs="Times New Roman"/>
        </w:rPr>
        <w:t xml:space="preserve">The PRO-1 form can be downloaded from the research website </w:t>
      </w:r>
      <w:hyperlink r:id="rId14" w:history="1">
        <w:r w:rsidR="0036725F" w:rsidRPr="001F4E3F">
          <w:rPr>
            <w:rStyle w:val="Hyperlink"/>
            <w:rFonts w:ascii="Times New Roman" w:eastAsia="Times New Roman" w:hAnsi="Times New Roman" w:cs="Times New Roman"/>
          </w:rPr>
          <w:t>https://research.njit.edu/njit-pandemic-recovery-plan</w:t>
        </w:r>
      </w:hyperlink>
      <w:r w:rsidR="0036725F">
        <w:rPr>
          <w:rFonts w:ascii="Times New Roman" w:eastAsia="Times New Roman" w:hAnsi="Times New Roman" w:cs="Times New Roman"/>
        </w:rPr>
        <w:t>.</w:t>
      </w:r>
    </w:p>
    <w:p w14:paraId="3166FBE2" w14:textId="6C2F2A09" w:rsidR="00791AC4" w:rsidRDefault="002E4510" w:rsidP="00791AC4">
      <w:pPr>
        <w:pStyle w:val="ListParagraph"/>
        <w:numPr>
          <w:ilvl w:val="0"/>
          <w:numId w:val="7"/>
        </w:numPr>
        <w:jc w:val="both"/>
        <w:rPr>
          <w:rFonts w:ascii="Times New Roman" w:eastAsia="Times New Roman" w:hAnsi="Times New Roman" w:cs="Times New Roman"/>
        </w:rPr>
      </w:pPr>
      <w:r w:rsidRPr="002E4510">
        <w:rPr>
          <w:rFonts w:ascii="Times New Roman" w:eastAsia="Times New Roman" w:hAnsi="Times New Roman" w:cs="Times New Roman"/>
          <w:b/>
          <w:bCs/>
        </w:rPr>
        <w:t>Lab Access Schedule:</w:t>
      </w:r>
      <w:r>
        <w:rPr>
          <w:rFonts w:ascii="Times New Roman" w:eastAsia="Times New Roman" w:hAnsi="Times New Roman" w:cs="Times New Roman"/>
        </w:rPr>
        <w:t xml:space="preserve"> </w:t>
      </w:r>
      <w:r w:rsidR="005747B0" w:rsidRPr="005747B0">
        <w:rPr>
          <w:rFonts w:ascii="Times New Roman" w:eastAsia="Times New Roman" w:hAnsi="Times New Roman" w:cs="Times New Roman"/>
        </w:rPr>
        <w:t>(Initiated by faculty/PI; approved by chair</w:t>
      </w:r>
      <w:r w:rsidR="005747B0">
        <w:rPr>
          <w:rFonts w:ascii="Times New Roman" w:eastAsia="Times New Roman" w:hAnsi="Times New Roman" w:cs="Times New Roman"/>
        </w:rPr>
        <w:t>):</w:t>
      </w:r>
      <w:r w:rsidR="005747B0" w:rsidRPr="00401327">
        <w:rPr>
          <w:rFonts w:ascii="Times New Roman" w:eastAsia="Times New Roman" w:hAnsi="Times New Roman" w:cs="Times New Roman"/>
        </w:rPr>
        <w:t xml:space="preserve"> </w:t>
      </w:r>
      <w:r w:rsidR="00401327" w:rsidRPr="00401327">
        <w:rPr>
          <w:rFonts w:ascii="Times New Roman" w:eastAsia="Times New Roman" w:hAnsi="Times New Roman" w:cs="Times New Roman"/>
        </w:rPr>
        <w:t>Number of people in a research lab should be limited to observe safe distancing</w:t>
      </w:r>
      <w:r w:rsidR="00401327">
        <w:rPr>
          <w:rFonts w:ascii="Times New Roman" w:eastAsia="Times New Roman" w:hAnsi="Times New Roman" w:cs="Times New Roman"/>
        </w:rPr>
        <w:t xml:space="preserve">. Depending on the type of experiment and research equipment in the lab, it is up to the research lab/center director or PI to develop a time-based schedule to allow specific researchers (faculty, research professors, post-docs, students and staff) access to the lab. It is recommended that flexible schedules specifically for researchers requiring supervision should be developed to access research labs. These lab access schedules should be </w:t>
      </w:r>
      <w:r>
        <w:rPr>
          <w:rFonts w:ascii="Times New Roman" w:eastAsia="Times New Roman" w:hAnsi="Times New Roman" w:cs="Times New Roman"/>
        </w:rPr>
        <w:t>submitted</w:t>
      </w:r>
      <w:r w:rsidR="00401327">
        <w:rPr>
          <w:rFonts w:ascii="Times New Roman" w:eastAsia="Times New Roman" w:hAnsi="Times New Roman" w:cs="Times New Roman"/>
        </w:rPr>
        <w:t xml:space="preserve"> </w:t>
      </w:r>
      <w:r>
        <w:rPr>
          <w:rFonts w:ascii="Times New Roman" w:eastAsia="Times New Roman" w:hAnsi="Times New Roman" w:cs="Times New Roman"/>
        </w:rPr>
        <w:t>to respective</w:t>
      </w:r>
      <w:r w:rsidR="00401327">
        <w:rPr>
          <w:rFonts w:ascii="Times New Roman" w:eastAsia="Times New Roman" w:hAnsi="Times New Roman" w:cs="Times New Roman"/>
        </w:rPr>
        <w:t xml:space="preserve"> department chair along </w:t>
      </w:r>
      <w:r>
        <w:rPr>
          <w:rFonts w:ascii="Times New Roman" w:eastAsia="Times New Roman" w:hAnsi="Times New Roman" w:cs="Times New Roman"/>
        </w:rPr>
        <w:t xml:space="preserve">with specific needs to implement safety protocols such as disinfecting supplies, face masks, gloves etc. </w:t>
      </w:r>
    </w:p>
    <w:p w14:paraId="4FED0E23" w14:textId="50F5B42A" w:rsidR="00447686" w:rsidRPr="00447686" w:rsidRDefault="00A668D0" w:rsidP="00447686">
      <w:pPr>
        <w:pStyle w:val="ListParagraph"/>
        <w:numPr>
          <w:ilvl w:val="0"/>
          <w:numId w:val="7"/>
        </w:numPr>
        <w:jc w:val="both"/>
        <w:rPr>
          <w:rFonts w:ascii="Times New Roman" w:eastAsia="Times New Roman" w:hAnsi="Times New Roman" w:cs="Times New Roman"/>
        </w:rPr>
      </w:pPr>
      <w:r w:rsidRPr="00A668D0">
        <w:rPr>
          <w:rFonts w:ascii="Times New Roman" w:eastAsia="Times New Roman" w:hAnsi="Times New Roman" w:cs="Times New Roman"/>
          <w:b/>
          <w:bCs/>
        </w:rPr>
        <w:t>Lab Access and Safety Monitoring Logbook:</w:t>
      </w:r>
      <w:r>
        <w:rPr>
          <w:rFonts w:ascii="Times New Roman" w:eastAsia="Times New Roman" w:hAnsi="Times New Roman" w:cs="Times New Roman"/>
        </w:rPr>
        <w:t xml:space="preserve"> </w:t>
      </w:r>
      <w:r w:rsidRPr="005747B0">
        <w:rPr>
          <w:rFonts w:ascii="Times New Roman" w:eastAsia="Times New Roman" w:hAnsi="Times New Roman" w:cs="Times New Roman"/>
        </w:rPr>
        <w:t>(</w:t>
      </w:r>
      <w:r w:rsidR="00072479">
        <w:rPr>
          <w:rFonts w:ascii="Times New Roman" w:eastAsia="Times New Roman" w:hAnsi="Times New Roman" w:cs="Times New Roman"/>
        </w:rPr>
        <w:t>Implemented</w:t>
      </w:r>
      <w:r w:rsidRPr="005747B0">
        <w:rPr>
          <w:rFonts w:ascii="Times New Roman" w:eastAsia="Times New Roman" w:hAnsi="Times New Roman" w:cs="Times New Roman"/>
        </w:rPr>
        <w:t xml:space="preserve"> by faculty/PI</w:t>
      </w:r>
      <w:r w:rsidR="007F62A6">
        <w:rPr>
          <w:rFonts w:ascii="Times New Roman" w:eastAsia="Times New Roman" w:hAnsi="Times New Roman" w:cs="Times New Roman"/>
        </w:rPr>
        <w:t xml:space="preserve"> and reported to department chair</w:t>
      </w:r>
      <w:r>
        <w:rPr>
          <w:rFonts w:ascii="Times New Roman" w:eastAsia="Times New Roman" w:hAnsi="Times New Roman" w:cs="Times New Roman"/>
        </w:rPr>
        <w:t>): The research lab/center director should maintain a Lab Access and Safety Monitoring (LASM) logbook to follow the lab access schedules and safety monitoring of individual researchers on a dail</w:t>
      </w:r>
      <w:r w:rsidR="00B25FDC">
        <w:rPr>
          <w:rFonts w:ascii="Times New Roman" w:eastAsia="Times New Roman" w:hAnsi="Times New Roman" w:cs="Times New Roman"/>
        </w:rPr>
        <w:t>y</w:t>
      </w:r>
      <w:r>
        <w:rPr>
          <w:rFonts w:ascii="Times New Roman" w:eastAsia="Times New Roman" w:hAnsi="Times New Roman" w:cs="Times New Roman"/>
        </w:rPr>
        <w:t xml:space="preserve"> basis. The following is the suggested format for the logbook (a </w:t>
      </w:r>
      <w:r w:rsidR="00577487">
        <w:rPr>
          <w:rFonts w:ascii="Times New Roman" w:eastAsia="Times New Roman" w:hAnsi="Times New Roman" w:cs="Times New Roman"/>
        </w:rPr>
        <w:t xml:space="preserve">template </w:t>
      </w:r>
      <w:r w:rsidR="0036725F">
        <w:rPr>
          <w:rFonts w:ascii="Times New Roman" w:eastAsia="Times New Roman" w:hAnsi="Times New Roman" w:cs="Times New Roman"/>
        </w:rPr>
        <w:t xml:space="preserve">spreadsheet </w:t>
      </w:r>
      <w:r>
        <w:rPr>
          <w:rFonts w:ascii="Times New Roman" w:eastAsia="Times New Roman" w:hAnsi="Times New Roman" w:cs="Times New Roman"/>
        </w:rPr>
        <w:t>file is posted on the website</w:t>
      </w:r>
      <w:r w:rsidR="0036725F">
        <w:rPr>
          <w:rFonts w:ascii="Times New Roman" w:eastAsia="Times New Roman" w:hAnsi="Times New Roman" w:cs="Times New Roman"/>
        </w:rPr>
        <w:t xml:space="preserve"> </w:t>
      </w:r>
      <w:hyperlink r:id="rId15" w:history="1">
        <w:r w:rsidR="0036725F" w:rsidRPr="001F4E3F">
          <w:rPr>
            <w:rStyle w:val="Hyperlink"/>
            <w:rFonts w:ascii="Times New Roman" w:eastAsia="Times New Roman" w:hAnsi="Times New Roman" w:cs="Times New Roman"/>
          </w:rPr>
          <w:t>https://research.njit.edu/njit-pandemic-recovery-plan</w:t>
        </w:r>
      </w:hyperlink>
      <w:r w:rsidR="0036725F">
        <w:rPr>
          <w:rFonts w:ascii="Times New Roman" w:eastAsia="Times New Roman" w:hAnsi="Times New Roman" w:cs="Times New Roman"/>
        </w:rPr>
        <w:t>)</w:t>
      </w:r>
      <w:r>
        <w:rPr>
          <w:rFonts w:ascii="Times New Roman" w:eastAsia="Times New Roman" w:hAnsi="Times New Roman" w:cs="Times New Roman"/>
        </w:rPr>
        <w:t xml:space="preserve">. </w:t>
      </w:r>
      <w:r w:rsidR="00BB3967">
        <w:rPr>
          <w:rFonts w:ascii="Times New Roman" w:eastAsia="Times New Roman" w:hAnsi="Times New Roman" w:cs="Times New Roman"/>
        </w:rPr>
        <w:t xml:space="preserve">If the answer to any question from column 4 to 6 is positive, the researcher must inform the lab director who should report it to the HR following the institutional reporting policy. If the answer to the question in column 7 is negative, the researcher should immediately inform the lab director/staff to access PPE supplies. If any answer to the questions in column 8-9 is negative, the researcher should immediately inform the lab director/staff who should report it as a potential incidence as described in section (4) below.  </w:t>
      </w:r>
      <w:r w:rsidR="00BB3967" w:rsidRPr="00BB3967">
        <w:rPr>
          <w:rFonts w:ascii="Times New Roman" w:eastAsia="Times New Roman" w:hAnsi="Times New Roman" w:cs="Times New Roman"/>
        </w:rPr>
        <w:t xml:space="preserve"> </w:t>
      </w:r>
    </w:p>
    <w:p w14:paraId="7CB1E8EE" w14:textId="5041FE0D" w:rsidR="00791AC4" w:rsidRDefault="00791AC4" w:rsidP="00791AC4">
      <w:pPr>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077"/>
        <w:gridCol w:w="749"/>
        <w:gridCol w:w="825"/>
        <w:gridCol w:w="1093"/>
        <w:gridCol w:w="1111"/>
        <w:gridCol w:w="1142"/>
        <w:gridCol w:w="1126"/>
        <w:gridCol w:w="1125"/>
        <w:gridCol w:w="1102"/>
      </w:tblGrid>
      <w:tr w:rsidR="00447686" w:rsidRPr="00AB6416" w14:paraId="57FF4E15" w14:textId="77777777" w:rsidTr="001700A1">
        <w:tc>
          <w:tcPr>
            <w:tcW w:w="9350" w:type="dxa"/>
            <w:gridSpan w:val="9"/>
          </w:tcPr>
          <w:p w14:paraId="5E03EF47"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 xml:space="preserve">Lab/Center/Lab/Facility Name:  </w:t>
            </w:r>
          </w:p>
        </w:tc>
      </w:tr>
      <w:tr w:rsidR="00447686" w:rsidRPr="00AB6416" w14:paraId="195665CA" w14:textId="77777777" w:rsidTr="001700A1">
        <w:tc>
          <w:tcPr>
            <w:tcW w:w="9350" w:type="dxa"/>
            <w:gridSpan w:val="9"/>
          </w:tcPr>
          <w:p w14:paraId="78636CEB"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 xml:space="preserve">Lab/Center/Lab/Facility Location:  </w:t>
            </w:r>
          </w:p>
        </w:tc>
      </w:tr>
      <w:tr w:rsidR="00447686" w:rsidRPr="00AB6416" w14:paraId="651C9647" w14:textId="77777777" w:rsidTr="001700A1">
        <w:tc>
          <w:tcPr>
            <w:tcW w:w="9350" w:type="dxa"/>
            <w:gridSpan w:val="9"/>
          </w:tcPr>
          <w:p w14:paraId="228BB7F2"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Lab Director/PI Name</w:t>
            </w:r>
            <w:r>
              <w:rPr>
                <w:rFonts w:ascii="Times New Roman" w:eastAsia="Times New Roman" w:hAnsi="Times New Roman" w:cs="Times New Roman"/>
                <w:sz w:val="18"/>
                <w:szCs w:val="18"/>
              </w:rPr>
              <w:t xml:space="preserve"> and Contact Information: </w:t>
            </w:r>
          </w:p>
        </w:tc>
      </w:tr>
      <w:tr w:rsidR="00447686" w:rsidRPr="00AB6416" w14:paraId="5BFA5304" w14:textId="77777777" w:rsidTr="001700A1">
        <w:tc>
          <w:tcPr>
            <w:tcW w:w="9350" w:type="dxa"/>
            <w:gridSpan w:val="9"/>
          </w:tcPr>
          <w:p w14:paraId="14BE1A0E"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 xml:space="preserve">Lab Staff Name (If applicable): </w:t>
            </w:r>
          </w:p>
        </w:tc>
      </w:tr>
      <w:tr w:rsidR="00447686" w:rsidRPr="00AB6416" w14:paraId="6406E816" w14:textId="77777777" w:rsidTr="001700A1">
        <w:tc>
          <w:tcPr>
            <w:tcW w:w="9350" w:type="dxa"/>
            <w:gridSpan w:val="9"/>
          </w:tcPr>
          <w:p w14:paraId="2D4FA8AE"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w:t>
            </w:r>
          </w:p>
        </w:tc>
      </w:tr>
      <w:tr w:rsidR="00447686" w:rsidRPr="00AB6416" w14:paraId="102FD1FD" w14:textId="77777777" w:rsidTr="001700A1">
        <w:tc>
          <w:tcPr>
            <w:tcW w:w="1077" w:type="dxa"/>
          </w:tcPr>
          <w:p w14:paraId="78027BC4"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Researcher Name</w:t>
            </w:r>
            <w:r>
              <w:rPr>
                <w:rFonts w:ascii="Times New Roman" w:eastAsia="Times New Roman" w:hAnsi="Times New Roman" w:cs="Times New Roman"/>
                <w:sz w:val="18"/>
                <w:szCs w:val="18"/>
              </w:rPr>
              <w:t xml:space="preserve"> and Contact Information</w:t>
            </w:r>
          </w:p>
        </w:tc>
        <w:tc>
          <w:tcPr>
            <w:tcW w:w="749" w:type="dxa"/>
          </w:tcPr>
          <w:p w14:paraId="1252FE00"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Arrival Time</w:t>
            </w:r>
          </w:p>
        </w:tc>
        <w:tc>
          <w:tcPr>
            <w:tcW w:w="825" w:type="dxa"/>
          </w:tcPr>
          <w:p w14:paraId="14E6F9C7"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Leaving Time</w:t>
            </w:r>
          </w:p>
        </w:tc>
        <w:tc>
          <w:tcPr>
            <w:tcW w:w="1093" w:type="dxa"/>
          </w:tcPr>
          <w:p w14:paraId="7C090E79"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Do you have any temperature</w:t>
            </w:r>
            <w:r>
              <w:rPr>
                <w:rFonts w:ascii="Times New Roman" w:eastAsia="Times New Roman" w:hAnsi="Times New Roman" w:cs="Times New Roman"/>
                <w:sz w:val="18"/>
                <w:szCs w:val="18"/>
              </w:rPr>
              <w:t xml:space="preserve"> or COVID-19 symptoms</w:t>
            </w:r>
            <w:r w:rsidRPr="00AB6416">
              <w:rPr>
                <w:rFonts w:ascii="Times New Roman" w:eastAsia="Times New Roman" w:hAnsi="Times New Roman" w:cs="Times New Roman"/>
                <w:sz w:val="18"/>
                <w:szCs w:val="18"/>
              </w:rPr>
              <w:t xml:space="preserve"> today? </w:t>
            </w:r>
          </w:p>
        </w:tc>
        <w:tc>
          <w:tcPr>
            <w:tcW w:w="1111" w:type="dxa"/>
          </w:tcPr>
          <w:p w14:paraId="027D273B"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 xml:space="preserve">Did you have any temperature </w:t>
            </w:r>
            <w:r>
              <w:rPr>
                <w:rFonts w:ascii="Times New Roman" w:eastAsia="Times New Roman" w:hAnsi="Times New Roman" w:cs="Times New Roman"/>
                <w:sz w:val="18"/>
                <w:szCs w:val="18"/>
              </w:rPr>
              <w:t xml:space="preserve">or COVID-19 symptoms </w:t>
            </w:r>
            <w:r w:rsidRPr="00AB6416">
              <w:rPr>
                <w:rFonts w:ascii="Times New Roman" w:eastAsia="Times New Roman" w:hAnsi="Times New Roman" w:cs="Times New Roman"/>
                <w:sz w:val="18"/>
                <w:szCs w:val="18"/>
              </w:rPr>
              <w:t>in last two weeks</w:t>
            </w:r>
            <w:r>
              <w:rPr>
                <w:rFonts w:ascii="Times New Roman" w:eastAsia="Times New Roman" w:hAnsi="Times New Roman" w:cs="Times New Roman"/>
                <w:sz w:val="18"/>
                <w:szCs w:val="18"/>
              </w:rPr>
              <w:t xml:space="preserve"> related to COVID-19</w:t>
            </w:r>
            <w:r w:rsidRPr="00AB6416">
              <w:rPr>
                <w:rFonts w:ascii="Times New Roman" w:eastAsia="Times New Roman" w:hAnsi="Times New Roman" w:cs="Times New Roman"/>
                <w:sz w:val="18"/>
                <w:szCs w:val="18"/>
              </w:rPr>
              <w:t>?</w:t>
            </w:r>
          </w:p>
        </w:tc>
        <w:tc>
          <w:tcPr>
            <w:tcW w:w="1142" w:type="dxa"/>
          </w:tcPr>
          <w:p w14:paraId="1656ABDF" w14:textId="77777777" w:rsidR="00447686" w:rsidRPr="00AB6416" w:rsidRDefault="00447686" w:rsidP="001700A1">
            <w:pPr>
              <w:jc w:val="both"/>
              <w:rPr>
                <w:rFonts w:ascii="Times New Roman" w:eastAsia="Times New Roman" w:hAnsi="Times New Roman" w:cs="Times New Roman"/>
                <w:sz w:val="18"/>
                <w:szCs w:val="18"/>
              </w:rPr>
            </w:pPr>
            <w:r w:rsidRPr="00AB6416">
              <w:rPr>
                <w:rFonts w:ascii="Times New Roman" w:eastAsia="Times New Roman" w:hAnsi="Times New Roman" w:cs="Times New Roman"/>
                <w:sz w:val="18"/>
                <w:szCs w:val="18"/>
              </w:rPr>
              <w:t>Do you think that you had any exposure to COVID-19 in past two weeks?</w:t>
            </w:r>
          </w:p>
        </w:tc>
        <w:tc>
          <w:tcPr>
            <w:tcW w:w="1126" w:type="dxa"/>
          </w:tcPr>
          <w:p w14:paraId="160C4EA7"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Do you have personnel protective equipment (PPE) with you?</w:t>
            </w:r>
          </w:p>
        </w:tc>
        <w:tc>
          <w:tcPr>
            <w:tcW w:w="1125" w:type="dxa"/>
          </w:tcPr>
          <w:p w14:paraId="71320F77"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During your time in the lab did you maintain safe distancing all the time?</w:t>
            </w:r>
          </w:p>
        </w:tc>
        <w:tc>
          <w:tcPr>
            <w:tcW w:w="1102" w:type="dxa"/>
          </w:tcPr>
          <w:p w14:paraId="28884E47"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During your time in the lab did you use PPE all the time?</w:t>
            </w:r>
          </w:p>
        </w:tc>
      </w:tr>
      <w:tr w:rsidR="00447686" w:rsidRPr="00AB6416" w14:paraId="5DE23B20" w14:textId="77777777" w:rsidTr="001700A1">
        <w:tc>
          <w:tcPr>
            <w:tcW w:w="1077" w:type="dxa"/>
          </w:tcPr>
          <w:p w14:paraId="1597825F"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49" w:type="dxa"/>
          </w:tcPr>
          <w:p w14:paraId="70713779"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25" w:type="dxa"/>
          </w:tcPr>
          <w:p w14:paraId="426A094E"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3" w:type="dxa"/>
          </w:tcPr>
          <w:p w14:paraId="78F3C1FC"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11" w:type="dxa"/>
          </w:tcPr>
          <w:p w14:paraId="3A65D9C8"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42" w:type="dxa"/>
          </w:tcPr>
          <w:p w14:paraId="7060A399" w14:textId="77777777" w:rsidR="00447686" w:rsidRPr="00AB641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26" w:type="dxa"/>
          </w:tcPr>
          <w:p w14:paraId="46710B89" w14:textId="77777777" w:rsidR="0044768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125" w:type="dxa"/>
          </w:tcPr>
          <w:p w14:paraId="79D4506C" w14:textId="77777777" w:rsidR="0044768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02" w:type="dxa"/>
          </w:tcPr>
          <w:p w14:paraId="611E2E47" w14:textId="77777777" w:rsidR="00447686" w:rsidRDefault="0044768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1C3AB6" w:rsidRPr="00AB6416" w14:paraId="04EE5D6C" w14:textId="77777777" w:rsidTr="003E1A25">
        <w:tc>
          <w:tcPr>
            <w:tcW w:w="2651" w:type="dxa"/>
            <w:gridSpan w:val="3"/>
          </w:tcPr>
          <w:p w14:paraId="6C761442" w14:textId="64669632"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Target Answers </w:t>
            </w:r>
          </w:p>
        </w:tc>
        <w:tc>
          <w:tcPr>
            <w:tcW w:w="1093" w:type="dxa"/>
          </w:tcPr>
          <w:p w14:paraId="08F427A8" w14:textId="72C7AAA7"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111" w:type="dxa"/>
          </w:tcPr>
          <w:p w14:paraId="19A21F4A" w14:textId="777CC389"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142" w:type="dxa"/>
          </w:tcPr>
          <w:p w14:paraId="7B9729C1" w14:textId="58D51988"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c>
          <w:tcPr>
            <w:tcW w:w="1126" w:type="dxa"/>
          </w:tcPr>
          <w:p w14:paraId="7129C314" w14:textId="6AD99BBE"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125" w:type="dxa"/>
          </w:tcPr>
          <w:p w14:paraId="6A2DBABE" w14:textId="6E7607B9"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1102" w:type="dxa"/>
          </w:tcPr>
          <w:p w14:paraId="7761FB30" w14:textId="4F3EEBC4" w:rsidR="001C3AB6" w:rsidRDefault="001C3AB6" w:rsidP="001700A1">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r>
    </w:tbl>
    <w:p w14:paraId="3015EF9E" w14:textId="57886CD0" w:rsidR="00791AC4" w:rsidRDefault="00791AC4" w:rsidP="00791AC4">
      <w:pPr>
        <w:jc w:val="both"/>
        <w:rPr>
          <w:rFonts w:ascii="Times New Roman" w:eastAsia="Times New Roman" w:hAnsi="Times New Roman" w:cs="Times New Roman"/>
        </w:rPr>
      </w:pPr>
    </w:p>
    <w:p w14:paraId="27C34AEB" w14:textId="48DA1928" w:rsidR="007F62A6" w:rsidRPr="008678B6" w:rsidRDefault="00072479" w:rsidP="00791AC4">
      <w:pPr>
        <w:pStyle w:val="ListParagraph"/>
        <w:numPr>
          <w:ilvl w:val="0"/>
          <w:numId w:val="7"/>
        </w:numPr>
        <w:jc w:val="both"/>
        <w:rPr>
          <w:rFonts w:ascii="Times New Roman" w:eastAsia="Times New Roman" w:hAnsi="Times New Roman" w:cs="Times New Roman"/>
        </w:rPr>
      </w:pPr>
      <w:r w:rsidRPr="008678B6">
        <w:rPr>
          <w:rFonts w:ascii="Times New Roman" w:eastAsia="Times New Roman" w:hAnsi="Times New Roman" w:cs="Times New Roman"/>
          <w:b/>
          <w:bCs/>
        </w:rPr>
        <w:t>Safety Instruction Displays and Incidence Reporting:</w:t>
      </w:r>
      <w:r w:rsidRPr="008678B6">
        <w:rPr>
          <w:rFonts w:ascii="Times New Roman" w:eastAsia="Times New Roman" w:hAnsi="Times New Roman" w:cs="Times New Roman"/>
        </w:rPr>
        <w:t xml:space="preserve"> (Implemented by faculty/PI and reported to department chair, college dean and other offices as needed): All research labs and centers should display posters on social distancing and safety instructions as </w:t>
      </w:r>
      <w:r w:rsidR="00BB3967" w:rsidRPr="008678B6">
        <w:rPr>
          <w:rFonts w:ascii="Times New Roman" w:eastAsia="Times New Roman" w:hAnsi="Times New Roman" w:cs="Times New Roman"/>
        </w:rPr>
        <w:t>recommended</w:t>
      </w:r>
      <w:r w:rsidRPr="008678B6">
        <w:rPr>
          <w:rFonts w:ascii="Times New Roman" w:eastAsia="Times New Roman" w:hAnsi="Times New Roman" w:cs="Times New Roman"/>
        </w:rPr>
        <w:t xml:space="preserve"> by </w:t>
      </w:r>
      <w:r w:rsidR="00BB3967" w:rsidRPr="008678B6">
        <w:rPr>
          <w:rFonts w:ascii="Times New Roman" w:eastAsia="Times New Roman" w:hAnsi="Times New Roman" w:cs="Times New Roman"/>
        </w:rPr>
        <w:t>the EHS department. Any incidence of violation of safety protocol</w:t>
      </w:r>
      <w:r w:rsidR="008678B6">
        <w:rPr>
          <w:rFonts w:ascii="Times New Roman" w:eastAsia="Times New Roman" w:hAnsi="Times New Roman" w:cs="Times New Roman"/>
        </w:rPr>
        <w:t>s</w:t>
      </w:r>
      <w:r w:rsidR="00BB3967" w:rsidRPr="008678B6">
        <w:rPr>
          <w:rFonts w:ascii="Times New Roman" w:eastAsia="Times New Roman" w:hAnsi="Times New Roman" w:cs="Times New Roman"/>
        </w:rPr>
        <w:t xml:space="preserve"> should be promptly reported to department chair</w:t>
      </w:r>
      <w:r w:rsidR="008678B6">
        <w:rPr>
          <w:rFonts w:ascii="Times New Roman" w:eastAsia="Times New Roman" w:hAnsi="Times New Roman" w:cs="Times New Roman"/>
        </w:rPr>
        <w:t>, campus safety</w:t>
      </w:r>
      <w:r w:rsidR="00BB3967" w:rsidRPr="008678B6">
        <w:rPr>
          <w:rFonts w:ascii="Times New Roman" w:eastAsia="Times New Roman" w:hAnsi="Times New Roman" w:cs="Times New Roman"/>
        </w:rPr>
        <w:t xml:space="preserve"> and</w:t>
      </w:r>
      <w:r w:rsidR="008678B6">
        <w:rPr>
          <w:rFonts w:ascii="Times New Roman" w:eastAsia="Times New Roman" w:hAnsi="Times New Roman" w:cs="Times New Roman"/>
        </w:rPr>
        <w:t xml:space="preserve"> </w:t>
      </w:r>
      <w:r w:rsidR="00BB3967" w:rsidRPr="008678B6">
        <w:rPr>
          <w:rFonts w:ascii="Times New Roman" w:eastAsia="Times New Roman" w:hAnsi="Times New Roman" w:cs="Times New Roman"/>
        </w:rPr>
        <w:t>HR</w:t>
      </w:r>
      <w:r w:rsidR="008678B6">
        <w:rPr>
          <w:rFonts w:ascii="Times New Roman" w:eastAsia="Times New Roman" w:hAnsi="Times New Roman" w:cs="Times New Roman"/>
        </w:rPr>
        <w:t xml:space="preserve"> following the institutional guidelines. </w:t>
      </w:r>
    </w:p>
    <w:p w14:paraId="481399A0" w14:textId="77777777" w:rsidR="00791AC4" w:rsidRPr="00C65ED5" w:rsidRDefault="00791AC4" w:rsidP="00791AC4">
      <w:pPr>
        <w:jc w:val="both"/>
        <w:rPr>
          <w:rFonts w:ascii="Times New Roman" w:eastAsia="Times New Roman" w:hAnsi="Times New Roman" w:cs="Times New Roman"/>
        </w:rPr>
      </w:pPr>
    </w:p>
    <w:p w14:paraId="3FFDF29A" w14:textId="77777777" w:rsidR="00D6451C" w:rsidRPr="00582DC0" w:rsidRDefault="00D6451C" w:rsidP="00D6451C">
      <w:pPr>
        <w:jc w:val="both"/>
        <w:rPr>
          <w:rFonts w:ascii="Times New Roman" w:hAnsi="Times New Roman"/>
          <w:bCs/>
        </w:rPr>
      </w:pPr>
      <w:r w:rsidRPr="00582DC0">
        <w:rPr>
          <w:rFonts w:ascii="Times New Roman" w:hAnsi="Times New Roman"/>
          <w:bCs/>
        </w:rPr>
        <w:t>Following the CDC guidelines, it is recommended that disposable face coverings and dust/surgical masks should be used for general activities in NJIT research laboratories. The N-95 masks are appropriately used for high risk activities in health care delivery, emergency response, and law enforcement.  If there are specific laboratory hazards that require the use of N-95 masks for healthcare or medical needs following the OSHA guidelines, they should be separately discussed with the college dean and EHS department for further consideration outside the general research recovery plan. </w:t>
      </w:r>
    </w:p>
    <w:p w14:paraId="07E159E5" w14:textId="77777777" w:rsidR="00791AC4" w:rsidRPr="00C65ED5" w:rsidRDefault="00791AC4" w:rsidP="00791AC4">
      <w:pPr>
        <w:jc w:val="both"/>
        <w:rPr>
          <w:rFonts w:ascii="Times New Roman" w:eastAsia="Times New Roman" w:hAnsi="Times New Roman" w:cs="Times New Roman"/>
        </w:rPr>
      </w:pPr>
    </w:p>
    <w:p w14:paraId="75367006" w14:textId="6D64726D" w:rsidR="00791AC4" w:rsidRPr="00672799" w:rsidRDefault="00791AC4" w:rsidP="00672799">
      <w:pPr>
        <w:jc w:val="both"/>
        <w:rPr>
          <w:rFonts w:ascii="Times New Roman" w:hAnsi="Times New Roman"/>
          <w:b/>
          <w:color w:val="0000FF"/>
        </w:rPr>
      </w:pPr>
      <w:r w:rsidRPr="00C65ED5">
        <w:rPr>
          <w:rFonts w:ascii="Times New Roman" w:hAnsi="Times New Roman"/>
        </w:rPr>
        <w:t xml:space="preserve">This document refers to research conducted on the NJIT campus in Newark, NJ, including the physical campus and activities that have direct contact with individuals (human subjects) anywhere.  Satellite locations, such as the Big Bear Solar Observatory in California, must follow a similar phased approach informed by local conditions.  </w:t>
      </w:r>
    </w:p>
    <w:p w14:paraId="15D0D735" w14:textId="2FB928F1" w:rsidR="00447686" w:rsidRDefault="00672799" w:rsidP="00A271A2">
      <w:pPr>
        <w:rPr>
          <w:b/>
          <w:bCs/>
        </w:rPr>
      </w:pPr>
      <w:r>
        <w:rPr>
          <w:b/>
          <w:bCs/>
        </w:rPr>
        <w:t>___________________</w:t>
      </w:r>
    </w:p>
    <w:p w14:paraId="78F6C2DF" w14:textId="77777777" w:rsidR="00F73485" w:rsidRDefault="00F73485" w:rsidP="00A271A2">
      <w:pPr>
        <w:rPr>
          <w:b/>
          <w:bCs/>
        </w:rPr>
      </w:pPr>
    </w:p>
    <w:p w14:paraId="3E0E31E8" w14:textId="0C642547" w:rsidR="00447686" w:rsidRPr="000A2791" w:rsidRDefault="00447686" w:rsidP="00A271A2">
      <w:pPr>
        <w:rPr>
          <w:b/>
          <w:bCs/>
        </w:rPr>
      </w:pPr>
      <w:r w:rsidRPr="00447686">
        <w:rPr>
          <w:b/>
          <w:bCs/>
        </w:rPr>
        <w:t>Safety Guidelines for Research with Human Subjects</w:t>
      </w:r>
      <w:r>
        <w:rPr>
          <w:b/>
          <w:bCs/>
        </w:rPr>
        <w:t>:</w:t>
      </w:r>
    </w:p>
    <w:p w14:paraId="7BF42DCC" w14:textId="77777777" w:rsidR="000A2791" w:rsidRDefault="000A2791" w:rsidP="000A2791">
      <w:pPr>
        <w:ind w:firstLine="720"/>
      </w:pPr>
    </w:p>
    <w:p w14:paraId="2CC811F0" w14:textId="24578B3E" w:rsidR="000A2791" w:rsidRDefault="003C52A4" w:rsidP="00A0124B">
      <w:r>
        <w:t>The</w:t>
      </w:r>
      <w:r w:rsidR="00E203E2">
        <w:t xml:space="preserve"> NJIT IRB has made the following determinations with regard to </w:t>
      </w:r>
      <w:r w:rsidR="006327E7">
        <w:t xml:space="preserve">approved </w:t>
      </w:r>
      <w:r w:rsidR="00E203E2">
        <w:t>human subject research</w:t>
      </w:r>
      <w:r w:rsidR="006327E7">
        <w:t xml:space="preserve"> protocols.  All research activity involving human subjects must be approved by the IRB prior to its start</w:t>
      </w:r>
      <w:r w:rsidR="00E203E2">
        <w:t>:</w:t>
      </w:r>
    </w:p>
    <w:p w14:paraId="43407304" w14:textId="1A8930B4" w:rsidR="00E203E2" w:rsidRDefault="00E203E2" w:rsidP="00A0124B"/>
    <w:tbl>
      <w:tblPr>
        <w:tblStyle w:val="TableGrid"/>
        <w:tblW w:w="0" w:type="auto"/>
        <w:tblLook w:val="04A0" w:firstRow="1" w:lastRow="0" w:firstColumn="1" w:lastColumn="0" w:noHBand="0" w:noVBand="1"/>
      </w:tblPr>
      <w:tblGrid>
        <w:gridCol w:w="2065"/>
        <w:gridCol w:w="1848"/>
        <w:gridCol w:w="1929"/>
        <w:gridCol w:w="1929"/>
        <w:gridCol w:w="1579"/>
      </w:tblGrid>
      <w:tr w:rsidR="006327E7" w:rsidRPr="0036725F" w14:paraId="09D4F08D" w14:textId="511CBB6A" w:rsidTr="0036725F">
        <w:tc>
          <w:tcPr>
            <w:tcW w:w="2065" w:type="dxa"/>
          </w:tcPr>
          <w:p w14:paraId="01E4F660" w14:textId="3D41C30E" w:rsidR="006327E7" w:rsidRPr="0036725F" w:rsidRDefault="006327E7" w:rsidP="00A0124B">
            <w:pPr>
              <w:rPr>
                <w:sz w:val="22"/>
                <w:szCs w:val="22"/>
              </w:rPr>
            </w:pPr>
            <w:r w:rsidRPr="0036725F">
              <w:rPr>
                <w:sz w:val="22"/>
                <w:szCs w:val="22"/>
              </w:rPr>
              <w:t>Type of Activity Involved in Human Subject Research</w:t>
            </w:r>
          </w:p>
        </w:tc>
        <w:tc>
          <w:tcPr>
            <w:tcW w:w="1848" w:type="dxa"/>
          </w:tcPr>
          <w:p w14:paraId="47CC76E6" w14:textId="0DB77295" w:rsidR="006327E7" w:rsidRPr="0036725F" w:rsidRDefault="006327E7" w:rsidP="00A0124B">
            <w:pPr>
              <w:rPr>
                <w:sz w:val="22"/>
                <w:szCs w:val="22"/>
              </w:rPr>
            </w:pPr>
            <w:r w:rsidRPr="0036725F">
              <w:rPr>
                <w:sz w:val="22"/>
                <w:szCs w:val="22"/>
              </w:rPr>
              <w:t>Phase 1</w:t>
            </w:r>
          </w:p>
        </w:tc>
        <w:tc>
          <w:tcPr>
            <w:tcW w:w="1929" w:type="dxa"/>
          </w:tcPr>
          <w:p w14:paraId="09FA2DFA" w14:textId="0C3ECDA4" w:rsidR="006327E7" w:rsidRPr="0036725F" w:rsidRDefault="006327E7" w:rsidP="00A0124B">
            <w:pPr>
              <w:rPr>
                <w:sz w:val="22"/>
                <w:szCs w:val="22"/>
              </w:rPr>
            </w:pPr>
            <w:r w:rsidRPr="0036725F">
              <w:rPr>
                <w:sz w:val="22"/>
                <w:szCs w:val="22"/>
              </w:rPr>
              <w:t>Phase 2</w:t>
            </w:r>
          </w:p>
        </w:tc>
        <w:tc>
          <w:tcPr>
            <w:tcW w:w="1929" w:type="dxa"/>
          </w:tcPr>
          <w:p w14:paraId="5DC280D2" w14:textId="2CE5785F" w:rsidR="006327E7" w:rsidRPr="0036725F" w:rsidRDefault="006327E7" w:rsidP="00A0124B">
            <w:pPr>
              <w:rPr>
                <w:sz w:val="22"/>
                <w:szCs w:val="22"/>
              </w:rPr>
            </w:pPr>
            <w:r w:rsidRPr="0036725F">
              <w:rPr>
                <w:sz w:val="22"/>
                <w:szCs w:val="22"/>
              </w:rPr>
              <w:t>Phase 3</w:t>
            </w:r>
          </w:p>
        </w:tc>
        <w:tc>
          <w:tcPr>
            <w:tcW w:w="1579" w:type="dxa"/>
          </w:tcPr>
          <w:p w14:paraId="564EA607" w14:textId="770B08AB" w:rsidR="006327E7" w:rsidRPr="0036725F" w:rsidRDefault="006327E7" w:rsidP="00A0124B">
            <w:pPr>
              <w:rPr>
                <w:sz w:val="22"/>
                <w:szCs w:val="22"/>
              </w:rPr>
            </w:pPr>
            <w:r w:rsidRPr="0036725F">
              <w:rPr>
                <w:sz w:val="22"/>
                <w:szCs w:val="22"/>
              </w:rPr>
              <w:t>Full Recovery</w:t>
            </w:r>
          </w:p>
        </w:tc>
      </w:tr>
      <w:tr w:rsidR="006327E7" w:rsidRPr="0036725F" w14:paraId="47549550" w14:textId="22443030" w:rsidTr="0036725F">
        <w:tc>
          <w:tcPr>
            <w:tcW w:w="2065" w:type="dxa"/>
          </w:tcPr>
          <w:p w14:paraId="491D1927" w14:textId="1652F598" w:rsidR="006327E7" w:rsidRPr="0036725F" w:rsidRDefault="006327E7" w:rsidP="00A0124B">
            <w:pPr>
              <w:rPr>
                <w:sz w:val="22"/>
                <w:szCs w:val="22"/>
              </w:rPr>
            </w:pPr>
            <w:r w:rsidRPr="0036725F">
              <w:rPr>
                <w:sz w:val="22"/>
                <w:szCs w:val="22"/>
              </w:rPr>
              <w:t>COVID-19 research</w:t>
            </w:r>
          </w:p>
        </w:tc>
        <w:tc>
          <w:tcPr>
            <w:tcW w:w="1848" w:type="dxa"/>
          </w:tcPr>
          <w:p w14:paraId="7C5AD564" w14:textId="47FAA357" w:rsidR="006327E7" w:rsidRPr="0036725F" w:rsidRDefault="006327E7" w:rsidP="00A0124B">
            <w:pPr>
              <w:rPr>
                <w:sz w:val="22"/>
                <w:szCs w:val="22"/>
              </w:rPr>
            </w:pPr>
            <w:r w:rsidRPr="0036725F">
              <w:rPr>
                <w:sz w:val="22"/>
                <w:szCs w:val="22"/>
              </w:rPr>
              <w:t>Permitted</w:t>
            </w:r>
          </w:p>
        </w:tc>
        <w:tc>
          <w:tcPr>
            <w:tcW w:w="1929" w:type="dxa"/>
          </w:tcPr>
          <w:p w14:paraId="43B95091" w14:textId="48E7ECF2" w:rsidR="006327E7" w:rsidRPr="0036725F" w:rsidRDefault="006327E7" w:rsidP="00A0124B">
            <w:pPr>
              <w:rPr>
                <w:sz w:val="22"/>
                <w:szCs w:val="22"/>
              </w:rPr>
            </w:pPr>
            <w:r w:rsidRPr="0036725F">
              <w:rPr>
                <w:sz w:val="22"/>
                <w:szCs w:val="22"/>
              </w:rPr>
              <w:t>Permitted</w:t>
            </w:r>
          </w:p>
        </w:tc>
        <w:tc>
          <w:tcPr>
            <w:tcW w:w="1929" w:type="dxa"/>
          </w:tcPr>
          <w:p w14:paraId="3754B29A" w14:textId="256C697C" w:rsidR="006327E7" w:rsidRPr="0036725F" w:rsidRDefault="006327E7" w:rsidP="00A0124B">
            <w:pPr>
              <w:rPr>
                <w:sz w:val="22"/>
                <w:szCs w:val="22"/>
              </w:rPr>
            </w:pPr>
            <w:r w:rsidRPr="0036725F">
              <w:rPr>
                <w:sz w:val="22"/>
                <w:szCs w:val="22"/>
              </w:rPr>
              <w:t>Permitted</w:t>
            </w:r>
          </w:p>
        </w:tc>
        <w:tc>
          <w:tcPr>
            <w:tcW w:w="1579" w:type="dxa"/>
          </w:tcPr>
          <w:p w14:paraId="2CF96C84" w14:textId="3DB9C0DF" w:rsidR="006327E7" w:rsidRPr="0036725F" w:rsidRDefault="006327E7" w:rsidP="00A0124B">
            <w:pPr>
              <w:rPr>
                <w:sz w:val="22"/>
                <w:szCs w:val="22"/>
              </w:rPr>
            </w:pPr>
            <w:r w:rsidRPr="0036725F">
              <w:rPr>
                <w:sz w:val="22"/>
                <w:szCs w:val="22"/>
              </w:rPr>
              <w:t>Permitted</w:t>
            </w:r>
          </w:p>
        </w:tc>
      </w:tr>
      <w:tr w:rsidR="006327E7" w:rsidRPr="0036725F" w14:paraId="64937652" w14:textId="77C4DDF0" w:rsidTr="0036725F">
        <w:tc>
          <w:tcPr>
            <w:tcW w:w="2065" w:type="dxa"/>
          </w:tcPr>
          <w:p w14:paraId="12F0EFF6" w14:textId="54946CB3" w:rsidR="006327E7" w:rsidRPr="0036725F" w:rsidRDefault="006327E7" w:rsidP="00A0124B">
            <w:pPr>
              <w:rPr>
                <w:sz w:val="22"/>
                <w:szCs w:val="22"/>
              </w:rPr>
            </w:pPr>
            <w:r w:rsidRPr="0036725F">
              <w:rPr>
                <w:sz w:val="22"/>
                <w:szCs w:val="22"/>
              </w:rPr>
              <w:t>Direct health benefit to subjects</w:t>
            </w:r>
          </w:p>
        </w:tc>
        <w:tc>
          <w:tcPr>
            <w:tcW w:w="1848" w:type="dxa"/>
          </w:tcPr>
          <w:p w14:paraId="4032784C" w14:textId="5F4A9CDB" w:rsidR="006327E7" w:rsidRPr="0036725F" w:rsidRDefault="006327E7" w:rsidP="00A0124B">
            <w:pPr>
              <w:rPr>
                <w:sz w:val="22"/>
                <w:szCs w:val="22"/>
              </w:rPr>
            </w:pPr>
            <w:r w:rsidRPr="0036725F">
              <w:rPr>
                <w:sz w:val="22"/>
                <w:szCs w:val="22"/>
              </w:rPr>
              <w:t>Permitted</w:t>
            </w:r>
          </w:p>
        </w:tc>
        <w:tc>
          <w:tcPr>
            <w:tcW w:w="1929" w:type="dxa"/>
          </w:tcPr>
          <w:p w14:paraId="6B3DE3D5" w14:textId="1BD8E550" w:rsidR="006327E7" w:rsidRPr="0036725F" w:rsidRDefault="006327E7" w:rsidP="00A0124B">
            <w:pPr>
              <w:rPr>
                <w:sz w:val="22"/>
                <w:szCs w:val="22"/>
              </w:rPr>
            </w:pPr>
            <w:r w:rsidRPr="0036725F">
              <w:rPr>
                <w:sz w:val="22"/>
                <w:szCs w:val="22"/>
              </w:rPr>
              <w:t>Permitted</w:t>
            </w:r>
          </w:p>
        </w:tc>
        <w:tc>
          <w:tcPr>
            <w:tcW w:w="1929" w:type="dxa"/>
          </w:tcPr>
          <w:p w14:paraId="405A559E" w14:textId="2AF9D6D6" w:rsidR="006327E7" w:rsidRPr="0036725F" w:rsidRDefault="006327E7" w:rsidP="00A0124B">
            <w:pPr>
              <w:rPr>
                <w:sz w:val="22"/>
                <w:szCs w:val="22"/>
              </w:rPr>
            </w:pPr>
            <w:r w:rsidRPr="0036725F">
              <w:rPr>
                <w:sz w:val="22"/>
                <w:szCs w:val="22"/>
              </w:rPr>
              <w:t>Permitted</w:t>
            </w:r>
          </w:p>
        </w:tc>
        <w:tc>
          <w:tcPr>
            <w:tcW w:w="1579" w:type="dxa"/>
          </w:tcPr>
          <w:p w14:paraId="56834629" w14:textId="213B3A49" w:rsidR="006327E7" w:rsidRPr="0036725F" w:rsidRDefault="006327E7" w:rsidP="00A0124B">
            <w:pPr>
              <w:rPr>
                <w:sz w:val="22"/>
                <w:szCs w:val="22"/>
              </w:rPr>
            </w:pPr>
            <w:r w:rsidRPr="0036725F">
              <w:rPr>
                <w:sz w:val="22"/>
                <w:szCs w:val="22"/>
              </w:rPr>
              <w:t>Permitted</w:t>
            </w:r>
          </w:p>
        </w:tc>
      </w:tr>
      <w:tr w:rsidR="006327E7" w:rsidRPr="0036725F" w14:paraId="3BEF63E4" w14:textId="0527640C" w:rsidTr="0036725F">
        <w:tc>
          <w:tcPr>
            <w:tcW w:w="2065" w:type="dxa"/>
          </w:tcPr>
          <w:p w14:paraId="082F2586" w14:textId="6FA248AF" w:rsidR="006327E7" w:rsidRPr="0036725F" w:rsidRDefault="006327E7" w:rsidP="0036725F">
            <w:pPr>
              <w:rPr>
                <w:sz w:val="22"/>
                <w:szCs w:val="22"/>
              </w:rPr>
            </w:pPr>
            <w:r w:rsidRPr="0036725F">
              <w:rPr>
                <w:sz w:val="22"/>
                <w:szCs w:val="22"/>
              </w:rPr>
              <w:t>Face-to-face interaction with little or no health benefit to the subjects</w:t>
            </w:r>
          </w:p>
        </w:tc>
        <w:tc>
          <w:tcPr>
            <w:tcW w:w="1848" w:type="dxa"/>
          </w:tcPr>
          <w:p w14:paraId="13BF3137" w14:textId="7DF5CA66" w:rsidR="006327E7" w:rsidRPr="0036725F" w:rsidRDefault="006327E7" w:rsidP="00A0124B">
            <w:pPr>
              <w:rPr>
                <w:sz w:val="22"/>
                <w:szCs w:val="22"/>
              </w:rPr>
            </w:pPr>
            <w:r w:rsidRPr="0036725F">
              <w:rPr>
                <w:sz w:val="22"/>
                <w:szCs w:val="22"/>
              </w:rPr>
              <w:t>Studies must be halted</w:t>
            </w:r>
            <w:r w:rsidR="00351872" w:rsidRPr="0036725F">
              <w:rPr>
                <w:sz w:val="22"/>
                <w:szCs w:val="22"/>
              </w:rPr>
              <w:t xml:space="preserve"> unless approved by chair, dean, and the NJIT IRB</w:t>
            </w:r>
            <w:r w:rsidRPr="0036725F">
              <w:rPr>
                <w:sz w:val="22"/>
                <w:szCs w:val="22"/>
              </w:rPr>
              <w:t>.</w:t>
            </w:r>
            <w:r w:rsidR="00351872" w:rsidRPr="0036725F">
              <w:rPr>
                <w:rStyle w:val="FootnoteReference"/>
                <w:sz w:val="22"/>
                <w:szCs w:val="22"/>
              </w:rPr>
              <w:t xml:space="preserve"> </w:t>
            </w:r>
            <w:r w:rsidR="00351872" w:rsidRPr="0036725F">
              <w:rPr>
                <w:rStyle w:val="FootnoteReference"/>
                <w:sz w:val="22"/>
                <w:szCs w:val="22"/>
              </w:rPr>
              <w:footnoteReference w:id="1"/>
            </w:r>
          </w:p>
        </w:tc>
        <w:tc>
          <w:tcPr>
            <w:tcW w:w="1929" w:type="dxa"/>
          </w:tcPr>
          <w:p w14:paraId="28CFD2EA" w14:textId="76452603" w:rsidR="006327E7" w:rsidRPr="0036725F" w:rsidRDefault="006327E7" w:rsidP="00A0124B">
            <w:pPr>
              <w:rPr>
                <w:sz w:val="22"/>
                <w:szCs w:val="22"/>
              </w:rPr>
            </w:pPr>
            <w:r w:rsidRPr="0036725F">
              <w:rPr>
                <w:sz w:val="22"/>
                <w:szCs w:val="22"/>
              </w:rPr>
              <w:t>Studies must be halted unless approved by chair, dean, and IRB co-chairs.</w:t>
            </w:r>
          </w:p>
        </w:tc>
        <w:tc>
          <w:tcPr>
            <w:tcW w:w="1929" w:type="dxa"/>
          </w:tcPr>
          <w:p w14:paraId="47DB1CDF" w14:textId="3C821997" w:rsidR="006327E7" w:rsidRPr="0036725F" w:rsidRDefault="00847969" w:rsidP="00A0124B">
            <w:pPr>
              <w:rPr>
                <w:sz w:val="22"/>
                <w:szCs w:val="22"/>
              </w:rPr>
            </w:pPr>
            <w:r w:rsidRPr="0036725F">
              <w:rPr>
                <w:sz w:val="22"/>
                <w:szCs w:val="22"/>
              </w:rPr>
              <w:t>Studies must be halted unless approved by chair, dean, and IRB co-chairs.</w:t>
            </w:r>
          </w:p>
        </w:tc>
        <w:tc>
          <w:tcPr>
            <w:tcW w:w="1579" w:type="dxa"/>
          </w:tcPr>
          <w:p w14:paraId="5335C8F8" w14:textId="492301F6" w:rsidR="006327E7" w:rsidRPr="0036725F" w:rsidRDefault="006327E7" w:rsidP="00A0124B">
            <w:pPr>
              <w:rPr>
                <w:sz w:val="22"/>
                <w:szCs w:val="22"/>
              </w:rPr>
            </w:pPr>
            <w:r w:rsidRPr="0036725F">
              <w:rPr>
                <w:sz w:val="22"/>
                <w:szCs w:val="22"/>
              </w:rPr>
              <w:t>Permitted</w:t>
            </w:r>
          </w:p>
        </w:tc>
      </w:tr>
      <w:tr w:rsidR="006327E7" w:rsidRPr="0036725F" w14:paraId="51F85003" w14:textId="516BBD2A" w:rsidTr="0036725F">
        <w:tc>
          <w:tcPr>
            <w:tcW w:w="2065" w:type="dxa"/>
          </w:tcPr>
          <w:p w14:paraId="69D7E33D" w14:textId="374F12EA" w:rsidR="006327E7" w:rsidRPr="0036725F" w:rsidRDefault="00515F48" w:rsidP="00A0124B">
            <w:pPr>
              <w:rPr>
                <w:sz w:val="22"/>
                <w:szCs w:val="22"/>
              </w:rPr>
            </w:pPr>
            <w:r w:rsidRPr="0036725F">
              <w:rPr>
                <w:sz w:val="22"/>
                <w:szCs w:val="22"/>
              </w:rPr>
              <w:t>Online interactions with human subjects or between researchers (</w:t>
            </w:r>
            <w:r w:rsidR="006327E7" w:rsidRPr="0036725F">
              <w:rPr>
                <w:sz w:val="22"/>
                <w:szCs w:val="22"/>
              </w:rPr>
              <w:t>No face-to-face interaction</w:t>
            </w:r>
            <w:r w:rsidRPr="0036725F">
              <w:rPr>
                <w:sz w:val="22"/>
                <w:szCs w:val="22"/>
              </w:rPr>
              <w:t>)</w:t>
            </w:r>
          </w:p>
        </w:tc>
        <w:tc>
          <w:tcPr>
            <w:tcW w:w="1848" w:type="dxa"/>
          </w:tcPr>
          <w:p w14:paraId="1A358AF5" w14:textId="0DBE58F9" w:rsidR="006327E7" w:rsidRPr="0036725F" w:rsidRDefault="006327E7" w:rsidP="00A0124B">
            <w:pPr>
              <w:rPr>
                <w:sz w:val="22"/>
                <w:szCs w:val="22"/>
              </w:rPr>
            </w:pPr>
            <w:r w:rsidRPr="0036725F">
              <w:rPr>
                <w:sz w:val="22"/>
                <w:szCs w:val="22"/>
              </w:rPr>
              <w:t>Permitted</w:t>
            </w:r>
          </w:p>
        </w:tc>
        <w:tc>
          <w:tcPr>
            <w:tcW w:w="1929" w:type="dxa"/>
          </w:tcPr>
          <w:p w14:paraId="13208CC8" w14:textId="29F26394" w:rsidR="006327E7" w:rsidRPr="0036725F" w:rsidRDefault="006327E7" w:rsidP="00A0124B">
            <w:pPr>
              <w:rPr>
                <w:sz w:val="22"/>
                <w:szCs w:val="22"/>
              </w:rPr>
            </w:pPr>
            <w:r w:rsidRPr="0036725F">
              <w:rPr>
                <w:sz w:val="22"/>
                <w:szCs w:val="22"/>
              </w:rPr>
              <w:t>Permitted</w:t>
            </w:r>
          </w:p>
        </w:tc>
        <w:tc>
          <w:tcPr>
            <w:tcW w:w="1929" w:type="dxa"/>
          </w:tcPr>
          <w:p w14:paraId="62C59BD6" w14:textId="396599D7" w:rsidR="006327E7" w:rsidRPr="0036725F" w:rsidRDefault="006327E7" w:rsidP="00A0124B">
            <w:pPr>
              <w:rPr>
                <w:sz w:val="22"/>
                <w:szCs w:val="22"/>
              </w:rPr>
            </w:pPr>
            <w:r w:rsidRPr="0036725F">
              <w:rPr>
                <w:sz w:val="22"/>
                <w:szCs w:val="22"/>
              </w:rPr>
              <w:t>Permitted</w:t>
            </w:r>
          </w:p>
        </w:tc>
        <w:tc>
          <w:tcPr>
            <w:tcW w:w="1579" w:type="dxa"/>
          </w:tcPr>
          <w:p w14:paraId="2D44E3C1" w14:textId="68120048" w:rsidR="006327E7" w:rsidRPr="0036725F" w:rsidRDefault="006327E7" w:rsidP="00A0124B">
            <w:pPr>
              <w:rPr>
                <w:sz w:val="22"/>
                <w:szCs w:val="22"/>
              </w:rPr>
            </w:pPr>
            <w:r w:rsidRPr="0036725F">
              <w:rPr>
                <w:sz w:val="22"/>
                <w:szCs w:val="22"/>
              </w:rPr>
              <w:t>Permitted</w:t>
            </w:r>
          </w:p>
        </w:tc>
      </w:tr>
    </w:tbl>
    <w:p w14:paraId="1C1E3179" w14:textId="77777777" w:rsidR="00E203E2" w:rsidRDefault="00E203E2" w:rsidP="00A0124B"/>
    <w:p w14:paraId="381ED47F" w14:textId="77777777" w:rsidR="000D4017" w:rsidRDefault="003C52A4" w:rsidP="00D6451C">
      <w:pPr>
        <w:jc w:val="both"/>
      </w:pPr>
      <w:r>
        <w:lastRenderedPageBreak/>
        <w:t xml:space="preserve">Guidelines or processes put in place for public health </w:t>
      </w:r>
      <w:r w:rsidR="000D4017">
        <w:t>considerations are not research procedures and do not need to be reviewed by the IRB.  Research changes mad to eliminate apparent immediate risk or hazards to the study subjects may be made prior to IRB review (consistent with 45 CFR 46.108(a)(3)(iii) and 45 CFR 46.103(b)(4)(iii)).  Such change must be reported to the IRB when possible.  If researchers determine that the current situation requires a change in an approved study, the change may be submitted to the IRB for review at any time.  If the changes are minor (e.g. changing from in-person interviews to online or phone interviews), the IRB will use an expedited review process for approval consistent with 45 CFR 46.110(b)(1)(ii) and 45 CFR 46.110(b)(2).  Research that is suspended by the researcher or institutional officials (e.g. because of campus closure) do not need to be reported.</w:t>
      </w:r>
    </w:p>
    <w:p w14:paraId="2C08A5FB" w14:textId="77777777" w:rsidR="000D4017" w:rsidRDefault="000D4017" w:rsidP="00A0124B"/>
    <w:p w14:paraId="4AF0B097" w14:textId="6E59475B" w:rsidR="003C52A4" w:rsidRDefault="000D4017" w:rsidP="00D6451C">
      <w:pPr>
        <w:jc w:val="both"/>
      </w:pPr>
      <w:r>
        <w:t xml:space="preserve">Questions </w:t>
      </w:r>
      <w:r w:rsidR="00F463D3">
        <w:t xml:space="preserve">regarding human subject research should be directed to the IRB co-chairs, Britt Holbrook and Eric Hetherington, at </w:t>
      </w:r>
      <w:hyperlink r:id="rId16" w:history="1">
        <w:r w:rsidR="00CE4BAD" w:rsidRPr="001F4E3F">
          <w:rPr>
            <w:rStyle w:val="Hyperlink"/>
          </w:rPr>
          <w:t>irb@njit.edu</w:t>
        </w:r>
      </w:hyperlink>
      <w:r w:rsidR="00CE4BAD">
        <w:t xml:space="preserve"> </w:t>
      </w:r>
      <w:r w:rsidR="00F463D3">
        <w:t>.</w:t>
      </w:r>
      <w:r>
        <w:t xml:space="preserve">  </w:t>
      </w:r>
    </w:p>
    <w:p w14:paraId="1B41A934" w14:textId="77777777" w:rsidR="000037BD" w:rsidRDefault="000037BD" w:rsidP="00A271A2">
      <w:pPr>
        <w:rPr>
          <w:b/>
          <w:bCs/>
        </w:rPr>
      </w:pPr>
    </w:p>
    <w:p w14:paraId="5398A30C" w14:textId="24A2F946" w:rsidR="00A271A2" w:rsidRPr="00447686" w:rsidRDefault="00447686" w:rsidP="00A271A2">
      <w:pPr>
        <w:rPr>
          <w:b/>
          <w:bCs/>
        </w:rPr>
      </w:pPr>
      <w:r w:rsidRPr="00447686">
        <w:rPr>
          <w:b/>
          <w:bCs/>
        </w:rPr>
        <w:t>Lab Safety Guidelines for Animal Care</w:t>
      </w:r>
      <w:r>
        <w:rPr>
          <w:b/>
          <w:bCs/>
        </w:rPr>
        <w:t>:</w:t>
      </w:r>
    </w:p>
    <w:p w14:paraId="0B425F33" w14:textId="274BA559" w:rsidR="00447686" w:rsidRDefault="00447686" w:rsidP="00A271A2"/>
    <w:p w14:paraId="40CEED3C" w14:textId="421FF412" w:rsidR="004A27A0" w:rsidRDefault="003C52A4" w:rsidP="00D6451C">
      <w:pPr>
        <w:jc w:val="both"/>
      </w:pPr>
      <w:r>
        <w:t>Research involving animals at NJIT is regulated by the guidelines outlined in this plan, determinations by Rutgers Newark IACUC, and the status of Rutgers animal care facilities.</w:t>
      </w:r>
      <w:r w:rsidR="004A27A0">
        <w:t xml:space="preserve">  NJIT and Rutgers Newark’s phased reopening will be in alignment</w:t>
      </w:r>
      <w:r w:rsidR="00AE4323">
        <w:t xml:space="preserve"> as much as possible</w:t>
      </w:r>
      <w:r w:rsidR="004A27A0">
        <w:t>, however researchers are to keep in mind that local guidelines take precedent (e.g. activities at NJIT must be in accordance with our recovery phase).</w:t>
      </w:r>
      <w:r w:rsidR="006327E7">
        <w:t xml:space="preserve">  </w:t>
      </w:r>
    </w:p>
    <w:p w14:paraId="5EE33E17" w14:textId="77777777" w:rsidR="00F73485" w:rsidRDefault="00F73485" w:rsidP="00A271A2"/>
    <w:p w14:paraId="2341D3F0" w14:textId="49A2657D" w:rsidR="00AE4323" w:rsidRPr="00AE4323" w:rsidRDefault="00AE4323" w:rsidP="00D6451C">
      <w:pPr>
        <w:jc w:val="both"/>
      </w:pPr>
      <w:r>
        <w:t xml:space="preserve">Following the Rutgers Newark IACUC guidelines, </w:t>
      </w:r>
      <w:proofErr w:type="gramStart"/>
      <w:r w:rsidRPr="00AE4323">
        <w:t>The</w:t>
      </w:r>
      <w:proofErr w:type="gramEnd"/>
      <w:r w:rsidRPr="00AE4323">
        <w:t xml:space="preserve"> </w:t>
      </w:r>
      <w:r>
        <w:t>c</w:t>
      </w:r>
      <w:r w:rsidRPr="00AE4323">
        <w:t xml:space="preserve">hairs and </w:t>
      </w:r>
      <w:r>
        <w:t>d</w:t>
      </w:r>
      <w:r w:rsidRPr="00AE4323">
        <w:t xml:space="preserve">eans for each unit will be approving studies as well as </w:t>
      </w:r>
      <w:r>
        <w:t>lab schedules</w:t>
      </w:r>
      <w:r w:rsidRPr="00AE4323">
        <w:t xml:space="preserve"> who can access the animal facility. Each research lab is expected to submit their </w:t>
      </w:r>
      <w:r>
        <w:t xml:space="preserve">lab access </w:t>
      </w:r>
      <w:r w:rsidRPr="00AE4323">
        <w:t xml:space="preserve">plans along with who in the lab would be authorized to work in the vivarium. </w:t>
      </w:r>
    </w:p>
    <w:p w14:paraId="4041A2DD" w14:textId="3111C95C" w:rsidR="004A27A0" w:rsidRDefault="004A27A0" w:rsidP="00A271A2"/>
    <w:p w14:paraId="1266966E" w14:textId="1BA95659" w:rsidR="004A27A0" w:rsidRDefault="004A27A0" w:rsidP="00D6451C">
      <w:pPr>
        <w:jc w:val="both"/>
      </w:pPr>
      <w:r>
        <w:t>Questions regarding research involving animals and animal care procedures at NJIT should contact Eric Hetherington (</w:t>
      </w:r>
      <w:hyperlink r:id="rId17" w:history="1">
        <w:r w:rsidRPr="00CF4D29">
          <w:rPr>
            <w:rStyle w:val="Hyperlink"/>
          </w:rPr>
          <w:t>erich@njit.edu</w:t>
        </w:r>
      </w:hyperlink>
      <w:r>
        <w:t>) or Eric Fortune (</w:t>
      </w:r>
      <w:hyperlink r:id="rId18" w:history="1">
        <w:r w:rsidR="00341818" w:rsidRPr="001F4E3F">
          <w:rPr>
            <w:rStyle w:val="Hyperlink"/>
          </w:rPr>
          <w:t>eric.s.fortune@njit.edu</w:t>
        </w:r>
      </w:hyperlink>
      <w:r w:rsidR="00341818">
        <w:t>).</w:t>
      </w:r>
    </w:p>
    <w:p w14:paraId="35F67477" w14:textId="77777777" w:rsidR="00AE4323" w:rsidRDefault="00AE4323" w:rsidP="000037BD">
      <w:pPr>
        <w:rPr>
          <w:b/>
          <w:bCs/>
        </w:rPr>
      </w:pPr>
    </w:p>
    <w:p w14:paraId="5B09865D" w14:textId="5FD3FEE9" w:rsidR="000037BD" w:rsidRDefault="000037BD" w:rsidP="00577487"/>
    <w:sectPr w:rsidR="000037BD" w:rsidSect="0036725F">
      <w:pgSz w:w="12240" w:h="15840"/>
      <w:pgMar w:top="1323"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DE41" w14:textId="77777777" w:rsidR="00502AEF" w:rsidRDefault="00502AEF" w:rsidP="00F463D3">
      <w:r>
        <w:separator/>
      </w:r>
    </w:p>
  </w:endnote>
  <w:endnote w:type="continuationSeparator" w:id="0">
    <w:p w14:paraId="066D45F2" w14:textId="77777777" w:rsidR="00502AEF" w:rsidRDefault="00502AEF" w:rsidP="00F4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7E20" w14:textId="77777777" w:rsidR="00502AEF" w:rsidRDefault="00502AEF" w:rsidP="00F463D3">
      <w:r>
        <w:separator/>
      </w:r>
    </w:p>
  </w:footnote>
  <w:footnote w:type="continuationSeparator" w:id="0">
    <w:p w14:paraId="32BCD091" w14:textId="77777777" w:rsidR="00502AEF" w:rsidRDefault="00502AEF" w:rsidP="00F463D3">
      <w:r>
        <w:continuationSeparator/>
      </w:r>
    </w:p>
  </w:footnote>
  <w:footnote w:id="1">
    <w:p w14:paraId="2F58D525" w14:textId="6FDF5C6F" w:rsidR="00351872" w:rsidRDefault="00351872" w:rsidP="00351872">
      <w:pPr>
        <w:pStyle w:val="FootnoteText"/>
      </w:pPr>
      <w:r>
        <w:rPr>
          <w:rStyle w:val="FootnoteReference"/>
        </w:rPr>
        <w:footnoteRef/>
      </w:r>
      <w:r>
        <w:t xml:space="preserve"> During the recovery phases, the campus is still not open to the general community.  Human subject research that has no direct benefit to the subjects, but requires face-to-face interaction needs to be evaluated to ensure that all public health measures can be met, that alternative procedures not involving face-to-face interaction are not possible, and that all subjects are members of the NJIT community as campus would remain closed to the general public.   The chair and dean must certify the public health and institutional requirements may be met.  The IRB co-chairs will determine if the new conditions continue to pose minimal or less-than-minimal harm to the subjects.  </w:t>
      </w:r>
      <w:r w:rsidR="001E6974">
        <w:t>During phase-1, t</w:t>
      </w:r>
      <w:r>
        <w:t>he whole IRB committee will be consulted as necessary on cases that involve substantial face-to-face subject interactions.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486A"/>
    <w:multiLevelType w:val="hybridMultilevel"/>
    <w:tmpl w:val="7B921F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6264F2"/>
    <w:multiLevelType w:val="hybridMultilevel"/>
    <w:tmpl w:val="A57C04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60627B"/>
    <w:multiLevelType w:val="hybridMultilevel"/>
    <w:tmpl w:val="BC3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34F72"/>
    <w:multiLevelType w:val="hybridMultilevel"/>
    <w:tmpl w:val="BC3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22615"/>
    <w:multiLevelType w:val="hybridMultilevel"/>
    <w:tmpl w:val="5B9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8B6858"/>
    <w:multiLevelType w:val="hybridMultilevel"/>
    <w:tmpl w:val="3A2C2E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2156D"/>
    <w:multiLevelType w:val="hybridMultilevel"/>
    <w:tmpl w:val="48348856"/>
    <w:lvl w:ilvl="0" w:tplc="BA6C4680">
      <w:start w:val="1"/>
      <w:numFmt w:val="decimal"/>
      <w:lvlText w:val="%1)"/>
      <w:lvlJc w:val="left"/>
      <w:pPr>
        <w:tabs>
          <w:tab w:val="num" w:pos="720"/>
        </w:tabs>
        <w:ind w:left="720" w:hanging="360"/>
      </w:pPr>
      <w:rPr>
        <w:rFonts w:asciiTheme="minorHAnsi" w:eastAsiaTheme="minorHAnsi" w:hAnsiTheme="minorHAnsi" w:cstheme="minorBidi"/>
      </w:rPr>
    </w:lvl>
    <w:lvl w:ilvl="1" w:tplc="C28E3E3E">
      <w:start w:val="1"/>
      <w:numFmt w:val="bullet"/>
      <w:lvlText w:val="•"/>
      <w:lvlJc w:val="left"/>
      <w:pPr>
        <w:tabs>
          <w:tab w:val="num" w:pos="1440"/>
        </w:tabs>
        <w:ind w:left="1440" w:hanging="360"/>
      </w:pPr>
      <w:rPr>
        <w:rFonts w:ascii="Times New Roman" w:hAnsi="Times New Roman" w:hint="default"/>
      </w:rPr>
    </w:lvl>
    <w:lvl w:ilvl="2" w:tplc="65C493B2">
      <w:start w:val="1"/>
      <w:numFmt w:val="bullet"/>
      <w:lvlText w:val="•"/>
      <w:lvlJc w:val="left"/>
      <w:pPr>
        <w:tabs>
          <w:tab w:val="num" w:pos="2160"/>
        </w:tabs>
        <w:ind w:left="2160" w:hanging="360"/>
      </w:pPr>
      <w:rPr>
        <w:rFonts w:ascii="Times New Roman" w:hAnsi="Times New Roman" w:hint="default"/>
      </w:rPr>
    </w:lvl>
    <w:lvl w:ilvl="3" w:tplc="AF7A7A26" w:tentative="1">
      <w:start w:val="1"/>
      <w:numFmt w:val="bullet"/>
      <w:lvlText w:val="•"/>
      <w:lvlJc w:val="left"/>
      <w:pPr>
        <w:tabs>
          <w:tab w:val="num" w:pos="2880"/>
        </w:tabs>
        <w:ind w:left="2880" w:hanging="360"/>
      </w:pPr>
      <w:rPr>
        <w:rFonts w:ascii="Times New Roman" w:hAnsi="Times New Roman" w:hint="default"/>
      </w:rPr>
    </w:lvl>
    <w:lvl w:ilvl="4" w:tplc="7EDE6E56" w:tentative="1">
      <w:start w:val="1"/>
      <w:numFmt w:val="bullet"/>
      <w:lvlText w:val="•"/>
      <w:lvlJc w:val="left"/>
      <w:pPr>
        <w:tabs>
          <w:tab w:val="num" w:pos="3600"/>
        </w:tabs>
        <w:ind w:left="3600" w:hanging="360"/>
      </w:pPr>
      <w:rPr>
        <w:rFonts w:ascii="Times New Roman" w:hAnsi="Times New Roman" w:hint="default"/>
      </w:rPr>
    </w:lvl>
    <w:lvl w:ilvl="5" w:tplc="77080B64" w:tentative="1">
      <w:start w:val="1"/>
      <w:numFmt w:val="bullet"/>
      <w:lvlText w:val="•"/>
      <w:lvlJc w:val="left"/>
      <w:pPr>
        <w:tabs>
          <w:tab w:val="num" w:pos="4320"/>
        </w:tabs>
        <w:ind w:left="4320" w:hanging="360"/>
      </w:pPr>
      <w:rPr>
        <w:rFonts w:ascii="Times New Roman" w:hAnsi="Times New Roman" w:hint="default"/>
      </w:rPr>
    </w:lvl>
    <w:lvl w:ilvl="6" w:tplc="6B24D7A8" w:tentative="1">
      <w:start w:val="1"/>
      <w:numFmt w:val="bullet"/>
      <w:lvlText w:val="•"/>
      <w:lvlJc w:val="left"/>
      <w:pPr>
        <w:tabs>
          <w:tab w:val="num" w:pos="5040"/>
        </w:tabs>
        <w:ind w:left="5040" w:hanging="360"/>
      </w:pPr>
      <w:rPr>
        <w:rFonts w:ascii="Times New Roman" w:hAnsi="Times New Roman" w:hint="default"/>
      </w:rPr>
    </w:lvl>
    <w:lvl w:ilvl="7" w:tplc="DAC44D2C" w:tentative="1">
      <w:start w:val="1"/>
      <w:numFmt w:val="bullet"/>
      <w:lvlText w:val="•"/>
      <w:lvlJc w:val="left"/>
      <w:pPr>
        <w:tabs>
          <w:tab w:val="num" w:pos="5760"/>
        </w:tabs>
        <w:ind w:left="5760" w:hanging="360"/>
      </w:pPr>
      <w:rPr>
        <w:rFonts w:ascii="Times New Roman" w:hAnsi="Times New Roman" w:hint="default"/>
      </w:rPr>
    </w:lvl>
    <w:lvl w:ilvl="8" w:tplc="084A6B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602E78"/>
    <w:multiLevelType w:val="hybridMultilevel"/>
    <w:tmpl w:val="BC385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51EED"/>
    <w:multiLevelType w:val="hybridMultilevel"/>
    <w:tmpl w:val="596C0BDC"/>
    <w:lvl w:ilvl="0" w:tplc="04090001">
      <w:start w:val="1"/>
      <w:numFmt w:val="bullet"/>
      <w:lvlText w:val=""/>
      <w:lvlJc w:val="left"/>
      <w:pPr>
        <w:ind w:left="781" w:hanging="360"/>
      </w:pPr>
      <w:rPr>
        <w:rFonts w:ascii="Symbol" w:hAnsi="Symbol" w:cs="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cs="Wingdings" w:hint="default"/>
      </w:rPr>
    </w:lvl>
    <w:lvl w:ilvl="3" w:tplc="04090001" w:tentative="1">
      <w:start w:val="1"/>
      <w:numFmt w:val="bullet"/>
      <w:lvlText w:val=""/>
      <w:lvlJc w:val="left"/>
      <w:pPr>
        <w:ind w:left="2941" w:hanging="360"/>
      </w:pPr>
      <w:rPr>
        <w:rFonts w:ascii="Symbol" w:hAnsi="Symbol" w:cs="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cs="Wingdings" w:hint="default"/>
      </w:rPr>
    </w:lvl>
    <w:lvl w:ilvl="6" w:tplc="04090001" w:tentative="1">
      <w:start w:val="1"/>
      <w:numFmt w:val="bullet"/>
      <w:lvlText w:val=""/>
      <w:lvlJc w:val="left"/>
      <w:pPr>
        <w:ind w:left="5101" w:hanging="360"/>
      </w:pPr>
      <w:rPr>
        <w:rFonts w:ascii="Symbol" w:hAnsi="Symbol" w:cs="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cs="Wingdings" w:hint="default"/>
      </w:rPr>
    </w:lvl>
  </w:abstractNum>
  <w:abstractNum w:abstractNumId="9" w15:restartNumberingAfterBreak="0">
    <w:nsid w:val="77BF1B0F"/>
    <w:multiLevelType w:val="hybridMultilevel"/>
    <w:tmpl w:val="A95A89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F12058"/>
    <w:multiLevelType w:val="hybridMultilevel"/>
    <w:tmpl w:val="36B2D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8"/>
  </w:num>
  <w:num w:numId="4">
    <w:abstractNumId w:val="0"/>
  </w:num>
  <w:num w:numId="5">
    <w:abstractNumId w:val="1"/>
  </w:num>
  <w:num w:numId="6">
    <w:abstractNumId w:val="9"/>
  </w:num>
  <w:num w:numId="7">
    <w:abstractNumId w:val="7"/>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B"/>
    <w:rsid w:val="000037BD"/>
    <w:rsid w:val="00072479"/>
    <w:rsid w:val="000A2791"/>
    <w:rsid w:val="000D4017"/>
    <w:rsid w:val="000E5F22"/>
    <w:rsid w:val="0016452C"/>
    <w:rsid w:val="001C3AB6"/>
    <w:rsid w:val="001C472D"/>
    <w:rsid w:val="001C698E"/>
    <w:rsid w:val="001E6974"/>
    <w:rsid w:val="002269FA"/>
    <w:rsid w:val="00247717"/>
    <w:rsid w:val="00291E92"/>
    <w:rsid w:val="002E4510"/>
    <w:rsid w:val="003410F0"/>
    <w:rsid w:val="00341818"/>
    <w:rsid w:val="00351872"/>
    <w:rsid w:val="0036725F"/>
    <w:rsid w:val="00367BC7"/>
    <w:rsid w:val="00380C37"/>
    <w:rsid w:val="00396880"/>
    <w:rsid w:val="003A7335"/>
    <w:rsid w:val="003C52A4"/>
    <w:rsid w:val="003D56DB"/>
    <w:rsid w:val="00401327"/>
    <w:rsid w:val="00432DD8"/>
    <w:rsid w:val="00436017"/>
    <w:rsid w:val="00447686"/>
    <w:rsid w:val="00476673"/>
    <w:rsid w:val="00495C19"/>
    <w:rsid w:val="004A27A0"/>
    <w:rsid w:val="004F2B7C"/>
    <w:rsid w:val="00502AEF"/>
    <w:rsid w:val="00515F48"/>
    <w:rsid w:val="0051706A"/>
    <w:rsid w:val="005260D2"/>
    <w:rsid w:val="0056242C"/>
    <w:rsid w:val="005747B0"/>
    <w:rsid w:val="00577487"/>
    <w:rsid w:val="00582DC0"/>
    <w:rsid w:val="006327E7"/>
    <w:rsid w:val="00650DBC"/>
    <w:rsid w:val="00672799"/>
    <w:rsid w:val="006D00B9"/>
    <w:rsid w:val="0078702D"/>
    <w:rsid w:val="00791AC4"/>
    <w:rsid w:val="007F62A6"/>
    <w:rsid w:val="0083440A"/>
    <w:rsid w:val="00847969"/>
    <w:rsid w:val="008617A9"/>
    <w:rsid w:val="008678B6"/>
    <w:rsid w:val="00965006"/>
    <w:rsid w:val="00971D15"/>
    <w:rsid w:val="00994136"/>
    <w:rsid w:val="009F69E5"/>
    <w:rsid w:val="00A0124B"/>
    <w:rsid w:val="00A142C9"/>
    <w:rsid w:val="00A271A2"/>
    <w:rsid w:val="00A45FE6"/>
    <w:rsid w:val="00A668D0"/>
    <w:rsid w:val="00A822AC"/>
    <w:rsid w:val="00AB6416"/>
    <w:rsid w:val="00AD27F1"/>
    <w:rsid w:val="00AE0735"/>
    <w:rsid w:val="00AE3B3B"/>
    <w:rsid w:val="00AE4323"/>
    <w:rsid w:val="00B25FDC"/>
    <w:rsid w:val="00B42CCC"/>
    <w:rsid w:val="00B45D33"/>
    <w:rsid w:val="00B760A0"/>
    <w:rsid w:val="00BB3967"/>
    <w:rsid w:val="00BF7292"/>
    <w:rsid w:val="00CA4C36"/>
    <w:rsid w:val="00CC17A2"/>
    <w:rsid w:val="00CE4BAD"/>
    <w:rsid w:val="00D6451C"/>
    <w:rsid w:val="00DB3786"/>
    <w:rsid w:val="00E203E2"/>
    <w:rsid w:val="00E37434"/>
    <w:rsid w:val="00E56006"/>
    <w:rsid w:val="00E926E4"/>
    <w:rsid w:val="00ED5250"/>
    <w:rsid w:val="00F256DB"/>
    <w:rsid w:val="00F463D3"/>
    <w:rsid w:val="00F73485"/>
    <w:rsid w:val="00F86D61"/>
    <w:rsid w:val="00FE309B"/>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DFE3"/>
  <w15:chartTrackingRefBased/>
  <w15:docId w15:val="{AA78BB07-2EF1-5848-9A44-FEC91056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7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FA"/>
    <w:pPr>
      <w:ind w:left="720"/>
      <w:contextualSpacing/>
    </w:pPr>
  </w:style>
  <w:style w:type="paragraph" w:styleId="BalloonText">
    <w:name w:val="Balloon Text"/>
    <w:basedOn w:val="Normal"/>
    <w:link w:val="BalloonTextChar"/>
    <w:uiPriority w:val="99"/>
    <w:semiHidden/>
    <w:unhideWhenUsed/>
    <w:rsid w:val="00A271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1A2"/>
    <w:rPr>
      <w:rFonts w:ascii="Times New Roman" w:hAnsi="Times New Roman" w:cs="Times New Roman"/>
      <w:sz w:val="18"/>
      <w:szCs w:val="18"/>
    </w:rPr>
  </w:style>
  <w:style w:type="table" w:styleId="TableGrid">
    <w:name w:val="Table Grid"/>
    <w:basedOn w:val="TableNormal"/>
    <w:uiPriority w:val="39"/>
    <w:rsid w:val="00AB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686"/>
    <w:rPr>
      <w:color w:val="0000FF"/>
      <w:u w:val="single"/>
    </w:rPr>
  </w:style>
  <w:style w:type="character" w:styleId="UnresolvedMention">
    <w:name w:val="Unresolved Mention"/>
    <w:basedOn w:val="DefaultParagraphFont"/>
    <w:uiPriority w:val="99"/>
    <w:semiHidden/>
    <w:unhideWhenUsed/>
    <w:rsid w:val="000A2791"/>
    <w:rPr>
      <w:color w:val="605E5C"/>
      <w:shd w:val="clear" w:color="auto" w:fill="E1DFDD"/>
    </w:rPr>
  </w:style>
  <w:style w:type="paragraph" w:styleId="FootnoteText">
    <w:name w:val="footnote text"/>
    <w:basedOn w:val="Normal"/>
    <w:link w:val="FootnoteTextChar"/>
    <w:uiPriority w:val="99"/>
    <w:semiHidden/>
    <w:unhideWhenUsed/>
    <w:rsid w:val="00F463D3"/>
    <w:rPr>
      <w:sz w:val="20"/>
      <w:szCs w:val="20"/>
    </w:rPr>
  </w:style>
  <w:style w:type="character" w:customStyle="1" w:styleId="FootnoteTextChar">
    <w:name w:val="Footnote Text Char"/>
    <w:basedOn w:val="DefaultParagraphFont"/>
    <w:link w:val="FootnoteText"/>
    <w:uiPriority w:val="99"/>
    <w:semiHidden/>
    <w:rsid w:val="00F463D3"/>
    <w:rPr>
      <w:sz w:val="20"/>
      <w:szCs w:val="20"/>
    </w:rPr>
  </w:style>
  <w:style w:type="character" w:styleId="FootnoteReference">
    <w:name w:val="footnote reference"/>
    <w:basedOn w:val="DefaultParagraphFont"/>
    <w:uiPriority w:val="99"/>
    <w:semiHidden/>
    <w:unhideWhenUsed/>
    <w:rsid w:val="00F463D3"/>
    <w:rPr>
      <w:vertAlign w:val="superscript"/>
    </w:rPr>
  </w:style>
  <w:style w:type="character" w:styleId="CommentReference">
    <w:name w:val="annotation reference"/>
    <w:basedOn w:val="DefaultParagraphFont"/>
    <w:uiPriority w:val="99"/>
    <w:semiHidden/>
    <w:unhideWhenUsed/>
    <w:rsid w:val="00AE0735"/>
    <w:rPr>
      <w:sz w:val="16"/>
      <w:szCs w:val="16"/>
    </w:rPr>
  </w:style>
  <w:style w:type="paragraph" w:styleId="CommentText">
    <w:name w:val="annotation text"/>
    <w:basedOn w:val="Normal"/>
    <w:link w:val="CommentTextChar"/>
    <w:uiPriority w:val="99"/>
    <w:semiHidden/>
    <w:unhideWhenUsed/>
    <w:rsid w:val="00AE0735"/>
    <w:rPr>
      <w:sz w:val="20"/>
      <w:szCs w:val="20"/>
    </w:rPr>
  </w:style>
  <w:style w:type="character" w:customStyle="1" w:styleId="CommentTextChar">
    <w:name w:val="Comment Text Char"/>
    <w:basedOn w:val="DefaultParagraphFont"/>
    <w:link w:val="CommentText"/>
    <w:uiPriority w:val="99"/>
    <w:semiHidden/>
    <w:rsid w:val="00AE0735"/>
    <w:rPr>
      <w:sz w:val="20"/>
      <w:szCs w:val="20"/>
    </w:rPr>
  </w:style>
  <w:style w:type="paragraph" w:styleId="CommentSubject">
    <w:name w:val="annotation subject"/>
    <w:basedOn w:val="CommentText"/>
    <w:next w:val="CommentText"/>
    <w:link w:val="CommentSubjectChar"/>
    <w:uiPriority w:val="99"/>
    <w:semiHidden/>
    <w:unhideWhenUsed/>
    <w:rsid w:val="00AE0735"/>
    <w:rPr>
      <w:b/>
      <w:bCs/>
    </w:rPr>
  </w:style>
  <w:style w:type="character" w:customStyle="1" w:styleId="CommentSubjectChar">
    <w:name w:val="Comment Subject Char"/>
    <w:basedOn w:val="CommentTextChar"/>
    <w:link w:val="CommentSubject"/>
    <w:uiPriority w:val="99"/>
    <w:semiHidden/>
    <w:rsid w:val="00AE0735"/>
    <w:rPr>
      <w:b/>
      <w:bCs/>
      <w:sz w:val="20"/>
      <w:szCs w:val="20"/>
    </w:rPr>
  </w:style>
  <w:style w:type="character" w:customStyle="1" w:styleId="Heading1Char">
    <w:name w:val="Heading 1 Char"/>
    <w:basedOn w:val="DefaultParagraphFont"/>
    <w:link w:val="Heading1"/>
    <w:uiPriority w:val="9"/>
    <w:rsid w:val="001C47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1352">
      <w:bodyDiv w:val="1"/>
      <w:marLeft w:val="0"/>
      <w:marRight w:val="0"/>
      <w:marTop w:val="0"/>
      <w:marBottom w:val="0"/>
      <w:divBdr>
        <w:top w:val="none" w:sz="0" w:space="0" w:color="auto"/>
        <w:left w:val="none" w:sz="0" w:space="0" w:color="auto"/>
        <w:bottom w:val="none" w:sz="0" w:space="0" w:color="auto"/>
        <w:right w:val="none" w:sz="0" w:space="0" w:color="auto"/>
      </w:divBdr>
    </w:div>
    <w:div w:id="460613843">
      <w:bodyDiv w:val="1"/>
      <w:marLeft w:val="0"/>
      <w:marRight w:val="0"/>
      <w:marTop w:val="0"/>
      <w:marBottom w:val="0"/>
      <w:divBdr>
        <w:top w:val="none" w:sz="0" w:space="0" w:color="auto"/>
        <w:left w:val="none" w:sz="0" w:space="0" w:color="auto"/>
        <w:bottom w:val="none" w:sz="0" w:space="0" w:color="auto"/>
        <w:right w:val="none" w:sz="0" w:space="0" w:color="auto"/>
      </w:divBdr>
    </w:div>
    <w:div w:id="611939379">
      <w:bodyDiv w:val="1"/>
      <w:marLeft w:val="0"/>
      <w:marRight w:val="0"/>
      <w:marTop w:val="0"/>
      <w:marBottom w:val="0"/>
      <w:divBdr>
        <w:top w:val="none" w:sz="0" w:space="0" w:color="auto"/>
        <w:left w:val="none" w:sz="0" w:space="0" w:color="auto"/>
        <w:bottom w:val="none" w:sz="0" w:space="0" w:color="auto"/>
        <w:right w:val="none" w:sz="0" w:space="0" w:color="auto"/>
      </w:divBdr>
    </w:div>
    <w:div w:id="623465520">
      <w:bodyDiv w:val="1"/>
      <w:marLeft w:val="0"/>
      <w:marRight w:val="0"/>
      <w:marTop w:val="0"/>
      <w:marBottom w:val="0"/>
      <w:divBdr>
        <w:top w:val="none" w:sz="0" w:space="0" w:color="auto"/>
        <w:left w:val="none" w:sz="0" w:space="0" w:color="auto"/>
        <w:bottom w:val="none" w:sz="0" w:space="0" w:color="auto"/>
        <w:right w:val="none" w:sz="0" w:space="0" w:color="auto"/>
      </w:divBdr>
    </w:div>
    <w:div w:id="1031027211">
      <w:bodyDiv w:val="1"/>
      <w:marLeft w:val="0"/>
      <w:marRight w:val="0"/>
      <w:marTop w:val="0"/>
      <w:marBottom w:val="0"/>
      <w:divBdr>
        <w:top w:val="none" w:sz="0" w:space="0" w:color="auto"/>
        <w:left w:val="none" w:sz="0" w:space="0" w:color="auto"/>
        <w:bottom w:val="none" w:sz="0" w:space="0" w:color="auto"/>
        <w:right w:val="none" w:sz="0" w:space="0" w:color="auto"/>
      </w:divBdr>
    </w:div>
    <w:div w:id="1480032107">
      <w:bodyDiv w:val="1"/>
      <w:marLeft w:val="0"/>
      <w:marRight w:val="0"/>
      <w:marTop w:val="0"/>
      <w:marBottom w:val="0"/>
      <w:divBdr>
        <w:top w:val="none" w:sz="0" w:space="0" w:color="auto"/>
        <w:left w:val="none" w:sz="0" w:space="0" w:color="auto"/>
        <w:bottom w:val="none" w:sz="0" w:space="0" w:color="auto"/>
        <w:right w:val="none" w:sz="0" w:space="0" w:color="auto"/>
      </w:divBdr>
    </w:div>
    <w:div w:id="1539780295">
      <w:bodyDiv w:val="1"/>
      <w:marLeft w:val="0"/>
      <w:marRight w:val="0"/>
      <w:marTop w:val="0"/>
      <w:marBottom w:val="0"/>
      <w:divBdr>
        <w:top w:val="none" w:sz="0" w:space="0" w:color="auto"/>
        <w:left w:val="none" w:sz="0" w:space="0" w:color="auto"/>
        <w:bottom w:val="none" w:sz="0" w:space="0" w:color="auto"/>
        <w:right w:val="none" w:sz="0" w:space="0" w:color="auto"/>
      </w:divBdr>
      <w:divsChild>
        <w:div w:id="2102142315">
          <w:marLeft w:val="0"/>
          <w:marRight w:val="0"/>
          <w:marTop w:val="0"/>
          <w:marBottom w:val="0"/>
          <w:divBdr>
            <w:top w:val="none" w:sz="0" w:space="0" w:color="auto"/>
            <w:left w:val="none" w:sz="0" w:space="0" w:color="auto"/>
            <w:bottom w:val="none" w:sz="0" w:space="0" w:color="auto"/>
            <w:right w:val="none" w:sz="0" w:space="0" w:color="auto"/>
          </w:divBdr>
        </w:div>
        <w:div w:id="509416799">
          <w:marLeft w:val="0"/>
          <w:marRight w:val="0"/>
          <w:marTop w:val="0"/>
          <w:marBottom w:val="0"/>
          <w:divBdr>
            <w:top w:val="none" w:sz="0" w:space="0" w:color="auto"/>
            <w:left w:val="none" w:sz="0" w:space="0" w:color="auto"/>
            <w:bottom w:val="none" w:sz="0" w:space="0" w:color="auto"/>
            <w:right w:val="none" w:sz="0" w:space="0" w:color="auto"/>
          </w:divBdr>
        </w:div>
        <w:div w:id="1693454806">
          <w:marLeft w:val="0"/>
          <w:marRight w:val="0"/>
          <w:marTop w:val="0"/>
          <w:marBottom w:val="0"/>
          <w:divBdr>
            <w:top w:val="none" w:sz="0" w:space="0" w:color="auto"/>
            <w:left w:val="none" w:sz="0" w:space="0" w:color="auto"/>
            <w:bottom w:val="none" w:sz="0" w:space="0" w:color="auto"/>
            <w:right w:val="none" w:sz="0" w:space="0" w:color="auto"/>
          </w:divBdr>
        </w:div>
      </w:divsChild>
    </w:div>
    <w:div w:id="1584802622">
      <w:bodyDiv w:val="1"/>
      <w:marLeft w:val="0"/>
      <w:marRight w:val="0"/>
      <w:marTop w:val="0"/>
      <w:marBottom w:val="0"/>
      <w:divBdr>
        <w:top w:val="none" w:sz="0" w:space="0" w:color="auto"/>
        <w:left w:val="none" w:sz="0" w:space="0" w:color="auto"/>
        <w:bottom w:val="none" w:sz="0" w:space="0" w:color="auto"/>
        <w:right w:val="none" w:sz="0" w:space="0" w:color="auto"/>
      </w:divBdr>
    </w:div>
    <w:div w:id="2039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index.html" TargetMode="External"/><Relationship Id="rId13" Type="http://schemas.openxmlformats.org/officeDocument/2006/relationships/hyperlink" Target="mailto:dhawan@njit.edu" TargetMode="External"/><Relationship Id="rId18" Type="http://schemas.openxmlformats.org/officeDocument/2006/relationships/hyperlink" Target="mailto:eric.s.fortune@nj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njit.edu/njit-pandemic-recovery-plan" TargetMode="External"/><Relationship Id="rId17" Type="http://schemas.openxmlformats.org/officeDocument/2006/relationships/hyperlink" Target="mailto:erich@njit.edu" TargetMode="External"/><Relationship Id="rId2" Type="http://schemas.openxmlformats.org/officeDocument/2006/relationships/numbering" Target="numbering.xml"/><Relationship Id="rId16" Type="http://schemas.openxmlformats.org/officeDocument/2006/relationships/hyperlink" Target="mailto:irb@njit.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diy-cloth-face-coverings.html" TargetMode="External"/><Relationship Id="rId5" Type="http://schemas.openxmlformats.org/officeDocument/2006/relationships/webSettings" Target="webSettings.xml"/><Relationship Id="rId15" Type="http://schemas.openxmlformats.org/officeDocument/2006/relationships/hyperlink" Target="https://research.njit.edu/njit-pandemic-recovery-plan"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wp-content/uploads/2020/04/Guidelines-for-Opening-Up-America-Again.pdf" TargetMode="External"/><Relationship Id="rId14" Type="http://schemas.openxmlformats.org/officeDocument/2006/relationships/hyperlink" Target="https://research.njit.edu/njit-pandemic-recove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898B0-AFD5-464A-8E3C-85E2C257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 Dhawan</dc:creator>
  <cp:keywords/>
  <dc:description/>
  <cp:lastModifiedBy>Atam Dhawan</cp:lastModifiedBy>
  <cp:revision>2</cp:revision>
  <dcterms:created xsi:type="dcterms:W3CDTF">2020-06-08T13:47:00Z</dcterms:created>
  <dcterms:modified xsi:type="dcterms:W3CDTF">2020-06-08T13:47:00Z</dcterms:modified>
</cp:coreProperties>
</file>